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Division of Over-The-Counter Drug Products (HFD-560)</w:t>
      </w:r>
    </w:p>
    <w:p>
      <w:pPr>
        <w:pStyle w:val="BodyTextIndent"/>
        <w:jc w:val="center"/>
      </w:pPr>
      <w:r>
        <w:rPr>
          <w:rFonts w:ascii="" w:hAnsi="" w:cs="" w:eastAsia=""/>
          <w:b w:val="false"/>
          <w:i w:val="false"/>
          <w:strike w:val="false"/>
          <w:color w:val=""/>
          <w:sz w:val="28"/>
        </w:rPr>
        <w:t xml:space="preserve">Center for Drug Evaluation and Research </w:t>
      </w:r>
      <w:r>
        <w:rPr>
          <w:rFonts w:ascii="" w:hAnsi="" w:cs="" w:eastAsia=""/>
          <w:b w:val="false"/>
          <w:i w:val="false"/>
          <w:strike w:val="false"/>
          <w:color w:val=""/>
          <w:sz w:val="28"/>
        </w:rPr>
        <w:t xml:space="preserve"> Food and Drug Administration</w:t>
      </w:r>
    </w:p>
    <w:p>
      <w:pPr>
        <w:pStyle w:val="BodyTextIndent"/>
        <w:jc w:val="center"/>
      </w:pPr>
      <w:r>
        <w:rPr>
          <w:rFonts w:ascii="" w:hAnsi="" w:cs="" w:eastAsia=""/>
          <w:b w:val="false"/>
          <w:i w:val="false"/>
          <w:strike w:val="false"/>
          <w:color w:val=""/>
          <w:sz w:val="28"/>
        </w:rPr>
        <w:t xml:space="preserve">Rockville </w:t>
      </w:r>
      <w:r>
        <w:rPr>
          <w:rFonts w:ascii="" w:hAnsi="" w:cs="" w:eastAsia=""/>
          <w:b w:val="false"/>
          <w:i w:val="false"/>
          <w:strike w:val="false"/>
          <w:color w:val=""/>
          <w:sz w:val="28"/>
        </w:rPr>
        <w:t xml:space="preserve"> MD 20857</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BACKGROUND</w:t>
      </w:r>
    </w:p>
    <w:p>
      <w:pPr>
        <w:pStyle w:val=""/>
        <w:jc w:val="left"/>
      </w:pPr>
      <w:r>
        <w:rPr>
          <w:rFonts w:ascii="" w:hAnsi="" w:cs="" w:eastAsia=""/>
          <w:b w:val="false"/>
          <w:i w:val="false"/>
          <w:strike w:val="false"/>
          <w:color w:val=""/>
        </w:rPr>
        <w:t>The applicant requests addition of bemotrizinol, up to 10 percent</w:t>
      </w:r>
      <w:r>
        <w:rPr>
          <w:rFonts w:ascii="" w:hAnsi="" w:cs="" w:eastAsia=""/>
          <w:b w:val="false"/>
          <w:i w:val="true"/>
          <w:strike w:val="false"/>
          <w:color w:val=""/>
        </w:rPr>
        <w:t>,</w:t>
      </w:r>
      <w:r>
        <w:rPr>
          <w:rFonts w:ascii="" w:hAnsi="" w:cs="" w:eastAsia=""/>
          <w:b w:val="false"/>
          <w:i w:val="false"/>
          <w:strike w:val="false"/>
          <w:color w:val=""/>
        </w:rPr>
        <w:t xml:space="preserve"> as a single active ingredient and in combination with other sunscreen active ingredients, to the monograph for OTC sunscreen drug products (21 CFR part 352).  This TEA does not request any changes (e.g., labeling or testing) to the sunscreen monograph other than the addition of bemotrizinol.  It is important to note that the applicant claims bemotrizinol protects against both UVA and UVB radiation.</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xml:space="preserve">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2018-05-09T20:19:08Z</dcterms:created>
  <dc:creator>Apache POI</dc:creator>
</cp:coreProperties>
</file>