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BodyTextIndent"/>
        <w:jc w:val="center"/>
      </w:pPr>
      <w:r>
        <w:rPr>
          <w:rFonts w:ascii="" w:hAnsi="" w:cs="" w:eastAsia=""/>
          <w:b w:val="false"/>
          <w:i w:val="false"/>
          <w:strike w:val="false"/>
          <w:color w:val=""/>
          <w:sz w:val="28"/>
        </w:rPr>
        <w:t/>
      </w:r>
      <w:r>
        <w:rPr>
          <w:rFonts w:ascii="" w:hAnsi="" w:cs="" w:eastAsia=""/>
          <w:b w:val="false"/>
          <w:i w:val="false"/>
          <w:strike w:val="false"/>
          <w:color w:val=""/>
          <w:sz w:val="28"/>
        </w:rPr>
        <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