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Book Antiqua" w:hAnsi="Book Antiqua" w:cs="Book Antiqua" w:eastAsia="Book Antiqua"/>
          <w:b w:val="false"/>
          <w:i w:val="false"/>
          <w:strike w:val="false"/>
          <w:color w:val="000080"/>
          <w:sz w:val="96"/>
        </w:rPr>
        <w:t/>
      </w:r>
    </w:p>
    <w:p>
      <w:pPr>
        <w:pStyle w:val=""/>
        <w:jc w:val="center"/>
      </w:pPr>
      <w:r>
        <w:rPr>
          <w:rFonts w:ascii="Book Antiqua" w:hAnsi="Book Antiqua" w:cs="Book Antiqua" w:eastAsia="Book Antiqua"/>
          <w:b w:val="false"/>
          <w:i w:val="false"/>
          <w:strike w:val="false"/>
          <w:color w:val="000080"/>
          <w:sz w:val="96"/>
        </w:rPr>
        <w:t/>
      </w:r>
    </w:p>
    <w:p>
      <w:pPr>
        <w:pStyle w:val="BodyText2"/>
        <w:jc w:val="left"/>
      </w:pPr>
      <w:r>
        <w:rPr>
          <w:rFonts w:ascii="" w:hAnsi="" w:cs="" w:eastAsia=""/>
          <w:b w:val="false"/>
          <w:i w:val="false"/>
          <w:strike w:val="false"/>
          <w:color w:val="000080"/>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true"/>
          <w:i w:val="false"/>
          <w:strike w:val="false"/>
          <w:color w:val="000080"/>
          <w:sz w:val="24"/>
        </w:rPr>
        <w:t/>
      </w:r>
      <w:r>
        <w:rPr>
          <w:rFonts w:ascii="" w:hAnsi="" w:cs="" w:eastAsi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28"/>
        </w:rPr>
        <w:t/>
      </w: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r>
        <w:rPr>
          <w:rFonts w:ascii="" w:hAnsi="" w:cs="" w:eastAsia=""/>
          <w:b w:val="true"/>
          <w:i w:val="false"/>
          <w:strike w:val="false"/>
          <w:color w:val=""/>
          <w:sz w:val="28"/>
        </w:rPr>
        <w:t/>
      </w:r>
    </w:p>
    <w:p>
      <w:pPr>
        <w:pStyle w:val="Heading4"/>
        <w:jc w:val="left"/>
      </w:pPr>
      <w:r>
        <w:rPr>
          <w:rFonts w:ascii="" w:hAnsi="" w:cs="" w:eastAsia=""/>
          <w:b w:val="false"/>
          <w:i w:val="false"/>
          <w:strike w:val="false"/>
          <w:color w:val=""/>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Heading1"/>
        <w:jc w:val="left"/>
      </w:pPr>
      <w:r>
        <w:rPr>
          <w:rFonts w:ascii="" w:hAnsi="" w:cs="" w:eastAsia=""/>
          <w:b w:val="false"/>
          <w:i w:val="false"/>
          <w:strike w:val="false"/>
          <w:color w:val="000080"/>
          <w:sz w:val="22"/>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left"/>
      </w:pPr>
      <w:r>
        <w:rPr>
          <w:rFonts w:ascii="" w:hAnsi="" w:cs="" w:eastAsia=""/>
          <w:b w:val="fals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xml:space="preserve"> barriers to permissible metric-only labeling in federal and state packaging and labeling laws and regulations.</w:t>
      </w:r>
    </w:p>
    <w:p>
      <w:pPr>
        <w:pStyle w:val=""/>
        <w:jc w:val="both"/>
      </w:pPr>
      <w:r>
        <w:rPr>
          <w:rFonts w:ascii="" w:hAnsi="" w:cs="" w:eastAsia=""/>
          <w:b w:val="true"/>
          <w:i w:val="false"/>
          <w:strike w:val="false"/>
          <w:color w:val=""/>
        </w:rPr>
        <w:t>Forum Participation</w:t>
      </w:r>
    </w:p>
    <w:p>
      <w:pPr>
        <w:pStyle w:val=""/>
        <w:jc w:val="both"/>
      </w:pPr>
      <w:r>
        <w:rPr>
          <w:rFonts w:ascii="" w:hAnsi="" w:cs="" w:eastAsia=""/>
          <w:b w:val="false"/>
          <w:i w:val="false"/>
          <w:strike w:val="false"/>
          <w:color w:val=""/>
        </w:rPr>
        <w:t xml:space="preserve">More than 60 people, including representatives of state and federal agencies, foreign governments, trade associations, manufacturers, retailers, and other interested parties, attended the forum held at the United States Department of Commerce in Washington, D.C.  A list of registrants and attendees and copies of several presentations are available at </w:t>
      </w:r>
      <w:r>
        <w:rPr>
          <w:rFonts w:ascii="" w:hAnsi="" w:cs="" w:eastAsia=""/>
          <w:b w:val="false"/>
          <w:i w:val="false"/>
          <w:strike w:val="false"/>
          <w:color w:val=""/>
        </w:rPr>
        <w:t>ht</w:t>
      </w:r>
      <w:r>
        <w:rPr>
          <w:rFonts w:ascii="" w:hAnsi="" w:cs="" w:eastAsia=""/>
          <w:b w:val="false"/>
          <w:i w:val="false"/>
          <w:strike w:val="false"/>
          <w:color w:val=""/>
        </w:rPr>
        <w:t>t</w:t>
      </w:r>
      <w:r>
        <w:rPr>
          <w:rFonts w:ascii="" w:hAnsi="" w:cs="" w:eastAsia=""/>
          <w:b w:val="false"/>
          <w:i w:val="false"/>
          <w:strike w:val="false"/>
          <w:color w:val=""/>
        </w:rPr>
        <w:t>p://ww</w:t>
      </w:r>
      <w:r>
        <w:rPr>
          <w:rFonts w:ascii="" w:hAnsi="" w:cs="" w:eastAsia=""/>
          <w:b w:val="false"/>
          <w:i w:val="false"/>
          <w:strike w:val="false"/>
          <w:color w:val=""/>
        </w:rPr>
        <w:t>w</w:t>
      </w:r>
      <w:r>
        <w:rPr>
          <w:rFonts w:ascii="" w:hAnsi="" w:cs="" w:eastAsia=""/>
          <w:b w:val="false"/>
          <w:i w:val="false"/>
          <w:strike w:val="false"/>
          <w:color w:val=""/>
        </w:rPr>
        <w:t>.n</w:t>
      </w:r>
      <w:r>
        <w:rPr>
          <w:rFonts w:ascii="" w:hAnsi="" w:cs="" w:eastAsia=""/>
          <w:b w:val="false"/>
          <w:i w:val="false"/>
          <w:strike w:val="false"/>
          <w:color w:val=""/>
        </w:rPr>
        <w:t>i</w:t>
      </w:r>
      <w:r>
        <w:rPr>
          <w:rFonts w:ascii="" w:hAnsi="" w:cs="" w:eastAsia=""/>
          <w:b w:val="false"/>
          <w:i w:val="false"/>
          <w:strike w:val="false"/>
          <w:color w:val=""/>
        </w:rPr>
        <w:t>st.gov/metric</w:t>
      </w:r>
      <w:r>
        <w:rPr>
          <w:rFonts w:ascii="" w:hAnsi="" w:cs="" w:eastAsia=""/>
          <w:b w:val="false"/>
          <w:i w:val="false"/>
          <w:strike w:val="false"/>
          <w:color w:val=""/>
        </w:rPr>
        <w:t xml:space="preserve"> on the Internet.  The participants included:</w:t>
      </w:r>
    </w:p>
    <w:p>
      <w:pPr>
        <w:pStyle w:val=""/>
        <w:jc w:val="both"/>
      </w:pPr>
      <w:r>
        <w:rPr>
          <w:rFonts w:ascii="" w:hAnsi="" w:cs="" w:eastAsia=""/>
          <w:b w:val="true"/>
          <w:i w:val="false"/>
          <w:strike w:val="false"/>
          <w:color w:val=""/>
        </w:rPr>
        <w:t xml:space="preserve">International: </w:t>
      </w:r>
      <w:r>
        <w:rPr>
          <w:rFonts w:ascii="" w:hAnsi="" w:cs="" w:eastAsia=""/>
          <w:b w:val="false"/>
          <w:i w:val="false"/>
          <w:strike w:val="false"/>
          <w:color w:val=""/>
        </w:rPr>
        <w:t>Representatives from Measurement Canada and the European Union/Delegation of the European Commission.</w:t>
      </w:r>
    </w:p>
    <w:p>
      <w:pPr>
        <w:pStyle w:val=""/>
        <w:jc w:val="both"/>
      </w:pPr>
      <w:r>
        <w:rPr>
          <w:rFonts w:ascii="" w:hAnsi="" w:cs="" w:eastAsia=""/>
          <w:b w:val="true"/>
          <w:i w:val="false"/>
          <w:strike w:val="false"/>
          <w:color w:val=""/>
        </w:rPr>
        <w:t xml:space="preserve">Federal Agencies: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center"/>
      </w:pPr>
      <w:r>
        <w:rPr>
          <w:rFonts w:ascii="" w:hAnsi="" w:cs="" w:eastAsia=""/>
          <w:b w:val="true"/>
          <w:i w:val="false"/>
          <w:strike w:val="false"/>
          <w:color w:val="auto"/>
          <w:sz w:val="22"/>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6"/>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000000"/>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Heading2"/>
        <w:jc w:val="left"/>
      </w:pP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w:r>
    </w:p>
    <w:p>
      <w:pPr>
        <w:pStyle w:val="Heading2"/>
        <w:jc w:val="both"/>
      </w:pP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FootnoteText"/>
        <w:jc w:val="both"/>
      </w:pPr>
      <w:r>
        <w:rPr>
          <w:rFonts w:ascii="" w:hAnsi="" w:cs="" w:eastAsia=""/>
          <w:b w:val="false"/>
          <w:i w:val="false"/>
          <w:strike w:val="false"/>
          <w:color w:val=""/>
          <w:sz w:val="20"/>
        </w:rPr>
        <w:t/>
      </w:r>
    </w:p>
    <w:p>
      <w:pPr>
        <w:pStyle w:val="FootnoteText"/>
        <w:jc w:val="both"/>
      </w:pPr>
      <w:r>
        <w:rPr>
          <w:rFonts w:ascii="" w:hAnsi="" w:cs="" w:eastAsia=""/>
          <w:b w:val="false"/>
          <w:i w:val="false"/>
          <w:strike w:val="false"/>
          <w:color w:val=""/>
          <w:sz w:val="20"/>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6"/>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18"/>
        </w:rPr>
        <w:t/>
      </w: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18"/>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sz w:val="54"/>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sz w:val="5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6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true"/>
          <w:i w:val="false"/>
          <w:strike w:val="false"/>
          <w:color w:val=""/>
        </w:rPr>
        <w:t/>
      </w:r>
    </w:p>
    <w:p>
      <w:pPr>
        <w:pStyle w:val="Footer"/>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FootnoteText"/>
        <w:jc w:val="both"/>
      </w:pP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4"/>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sz w:val="22"/>
        </w:rPr>
        <w:t/>
      </w:r>
    </w:p>
    <w:p>
      <w:pPr>
        <w:pStyle w:val=""/>
        <w:jc w:val="both"/>
      </w:pPr>
      <w:r>
        <w:rPr>
          <w:rFonts w:ascii="" w:hAnsi="" w:cs="" w:eastAsia=""/>
          <w:b w:val="false"/>
          <w:i w:val="false"/>
          <w:strike w:val="false"/>
          <w:color w:val=""/>
        </w:rPr>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2018-05-09T20:19:16Z</dcterms:created>
  <dc:creator>Apache POI</dc:creator>
</cp:coreProperties>
</file>