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xml:space="preserve">Forum Report: </w:t>
      </w:r>
    </w:p>
    <w:p>
      <w:pPr>
        <w:pStyle w:val=""/>
        <w:jc w:val="center"/>
      </w:pPr>
      <w:r>
        <w:rPr>
          <w:rFonts w:ascii="Book Antiqua" w:hAnsi="Book Antiqua" w:cs="Book Antiqua" w:eastAsia="Book Antiqua"/>
          <w:b w:val="false"/>
          <w:i w:val="false"/>
          <w:strike w:val="false"/>
          <w:color w:val="000080"/>
          <w:sz w:val="96"/>
        </w:rPr>
        <w:t>Permissible Metric - Only Labeling</w:t>
      </w:r>
    </w:p>
    <w:p>
      <w:pPr>
        <w:pStyle w:val="BodyText2"/>
        <w:jc w:val="left"/>
      </w:pPr>
      <w:r>
        <w:rPr>
          <w:rFonts w:ascii="" w:hAnsi="" w:cs="" w:eastAsia=""/>
          <w:b w:val="false"/>
          <w:i w:val="false"/>
          <w:strike w:val="false"/>
          <w:color w:val="000080"/>
        </w:rPr>
        <w:t>Includes a Proposal to Amend the Fair Packaging and Labeling Act to Allow Metric-Only Labeling</w:t>
      </w:r>
    </w:p>
    <w:p>
      <w:pPr>
        <w:pStyle w:val=""/>
        <w:jc w:val="center"/>
      </w:pPr>
      <w:r>
        <w:rPr>
          <w:rFonts w:ascii="Book Antiqua" w:hAnsi="Book Antiqua" w:cs="Book Antiqua" w:eastAsia="Book Antiqua"/>
          <w:b w:val="false"/>
          <w:i w:val="false"/>
          <w:strike w:val="false"/>
          <w:color w:val="000080"/>
          <w:sz w:val="24"/>
        </w:rPr>
        <w:t>This report and additional materials are available at</w:t>
      </w:r>
      <w:r>
        <w:rPr>
          <w:rFonts w:ascii="Book Antiqua" w:hAnsi="Book Antiqua" w:cs="Book Antiqua" w:eastAsia="Book Antiqua"/>
          <w:b w:val="true"/>
          <w:i w:val="false"/>
          <w:strike w:val="false"/>
          <w:color w:val="000080"/>
          <w:sz w:val="24"/>
        </w:rPr>
        <w:t xml:space="preserve"> </w:t>
      </w:r>
      <w:r>
        <w:rPr>
          <w:rFonts w:ascii="" w:hAnsi="" w:cs="" w:eastAsia=""/>
          <w:b w:val="false"/>
          <w:i w:val="false"/>
          <w:strike w:val="false"/>
          <w:color w:val="000080"/>
          <w:sz w:val="24"/>
        </w:rPr>
        <w:t>http://www.nist.gov/metric</w:t>
      </w:r>
    </w:p>
    <w:p>
      <w:pPr>
        <w:pStyle w:val=""/>
        <w:jc w:val="center"/>
      </w:pPr>
      <w:r>
        <w:rPr>
          <w:rFonts w:ascii="Book Antiqua" w:hAnsi="Book Antiqua" w:cs="Book Antiqua" w:eastAsia="Book Antiqua"/>
          <w:b w:val="false"/>
          <w:i w:val="false"/>
          <w:strike w:val="false"/>
          <w:color w:val="000080"/>
          <w:sz w:val="24"/>
        </w:rPr>
        <w:t xml:space="preserve">For more information contact </w:t>
      </w:r>
      <w:r>
        <w:rPr>
          <w:rFonts w:ascii="Book Antiqua" w:hAnsi="Book Antiqua" w:cs="Book Antiqua" w:eastAsia="Book Antiqua"/>
          <w:b w:val="false"/>
          <w:i w:val="false"/>
          <w:strike w:val="false"/>
          <w:color w:val="000080"/>
          <w:sz w:val="24"/>
        </w:rPr>
        <w:t>TheSI@nist.gov</w:t>
      </w:r>
    </w:p>
    <w:p>
      <w:pPr>
        <w:pStyle w:val=""/>
        <w:jc w:val="center"/>
      </w:pPr>
      <w:r>
        <w:rPr>
          <w:rFonts w:ascii="Book Antiqua" w:hAnsi="Book Antiqua" w:cs="Book Antiqua" w:eastAsia="Book Antiqua"/>
          <w:b w:val="false"/>
          <w:i w:val="false"/>
          <w:strike w:val="false"/>
          <w:color w:val="000080"/>
          <w:sz w:val="36"/>
        </w:rPr>
        <w:t xml:space="preserve">November 7, 2002  </w:t>
      </w:r>
    </w:p>
    <w:p>
      <w:pPr>
        <w:pStyle w:val=""/>
        <w:jc w:val="center"/>
      </w:pPr>
      <w:r>
        <w:rPr>
          <w:rFonts w:ascii="Book Antiqua" w:hAnsi="Book Antiqua" w:cs="Book Antiqua" w:eastAsia="Book Antiqua"/>
          <w:b w:val="false"/>
          <w:i w:val="false"/>
          <w:strike w:val="false"/>
          <w:color w:val="000080"/>
          <w:sz w:val="36"/>
        </w:rPr>
        <w:t xml:space="preserve"> Washington, D.C.</w:t>
      </w:r>
    </w:p>
    <w:p>
      <w:pPr>
        <w:pStyle w:val=""/>
        <w:jc w:val="center"/>
      </w:pPr>
      <w:r>
        <w:rPr>
          <w:rFonts w:ascii="Book Antiqua" w:hAnsi="Book Antiqua" w:cs="Book Antiqua" w:eastAsia="Book Antiqua"/>
          <w:b w:val="false"/>
          <w:i w:val="false"/>
          <w:strike w:val="false"/>
          <w:color w:val="000080"/>
          <w:sz w:val="28"/>
        </w:rPr>
        <w:t>Sponsored by: The United States Department of Commerce’s National Institute of Standards and Technology and the National Conference on Weights and Measures</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April 15, 2003</w:t>
      </w:r>
    </w:p>
    <w:p>
      <w:pPr>
        <w:pStyle w:val="Heading4"/>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sz w:val="24"/>
        </w:rPr>
        <w:t>A</w:t>
      </w:r>
      <w:r>
        <w:rPr>
          <w:rFonts w:ascii="" w:hAnsi="" w:cs="" w:eastAsia=""/>
          <w:b w:val="false"/>
          <w:i w:val="false"/>
          <w:strike w:val="false"/>
          <w:color w:val=""/>
          <w:sz w:val="24"/>
        </w:rPr>
        <w:t xml:space="preserve"> </w:t>
      </w:r>
      <w:r>
        <w:rPr>
          <w:rFonts w:ascii="" w:hAnsi="" w:cs="" w:eastAsia=""/>
          <w:b w:val="false"/>
          <w:i w:val="false"/>
          <w:strike w:val="false"/>
          <w:color w:val=""/>
          <w:sz w:val="24"/>
        </w:rPr>
        <w:t>Message from the Director of NIS</w:t>
      </w:r>
      <w:r>
        <w:rPr>
          <w:rFonts w:ascii="" w:hAnsi="" w:cs="" w:eastAsia=""/>
          <w:b w:val="false"/>
          <w:i w:val="false"/>
          <w:strike w:val="false"/>
          <w:color w:val=""/>
          <w:sz w:val="24"/>
        </w:rPr>
        <w:t>T</w:t>
      </w:r>
      <w:r>
        <w:rPr>
          <w:rFonts w:ascii="" w:hAnsi="" w:cs="" w:eastAsia=""/>
          <w:b w:val="false"/>
          <w:i w:val="false"/>
          <w:strike w:val="false"/>
          <w:color w:val=""/>
          <w:sz w:val="24"/>
        </w:rPr>
        <w:t>’s Techn</w:t>
      </w:r>
      <w:r>
        <w:rPr>
          <w:rFonts w:ascii="" w:hAnsi="" w:cs="" w:eastAsia=""/>
          <w:b w:val="false"/>
          <w:i w:val="false"/>
          <w:strike w:val="false"/>
          <w:color w:val=""/>
          <w:sz w:val="24"/>
        </w:rPr>
        <w:t>o</w:t>
      </w:r>
      <w:r>
        <w:rPr>
          <w:rFonts w:ascii="" w:hAnsi="" w:cs="" w:eastAsia=""/>
          <w:b w:val="false"/>
          <w:i w:val="false"/>
          <w:strike w:val="false"/>
          <w:color w:val=""/>
          <w:sz w:val="24"/>
        </w:rPr>
        <w:t>logy Services</w:t>
      </w:r>
      <w:r>
        <w:rPr>
          <w:rFonts w:ascii="" w:hAnsi="" w:cs="" w:eastAsia=""/>
          <w:b w:val="false"/>
          <w:i w:val="false"/>
          <w:strike w:val="false"/>
          <w:color w:val="0000FF"/>
          <w:sz w:val="24"/>
        </w:rPr>
        <w:t>3</w:t>
      </w:r>
    </w:p>
    <w:p>
      <w:pPr>
        <w:pStyle w:val="TOC1"/>
        <w:jc w:val="left"/>
      </w:pPr>
      <w:r>
        <w:rPr>
          <w:rFonts w:ascii="" w:hAnsi="" w:cs="" w:eastAsia=""/>
          <w:b w:val="false"/>
          <w:i w:val="false"/>
          <w:strike w:val="false"/>
          <w:color w:val=""/>
          <w:sz w:val="24"/>
        </w:rPr>
        <w:t>Summar</w:t>
      </w:r>
      <w:r>
        <w:rPr>
          <w:rFonts w:ascii="" w:hAnsi="" w:cs="" w:eastAsia=""/>
          <w:b w:val="false"/>
          <w:i w:val="false"/>
          <w:strike w:val="false"/>
          <w:color w:val=""/>
          <w:sz w:val="24"/>
        </w:rPr>
        <w:t>y</w:t>
      </w:r>
      <w:r>
        <w:rPr>
          <w:rFonts w:ascii="" w:hAnsi="" w:cs="" w:eastAsia=""/>
          <w:b w:val="false"/>
          <w:i w:val="false"/>
          <w:strike w:val="false"/>
          <w:color w:val="0000FF"/>
          <w:sz w:val="24"/>
        </w:rPr>
        <w:t>4</w:t>
      </w:r>
    </w:p>
    <w:p>
      <w:pPr>
        <w:pStyle w:val="TOC1"/>
        <w:jc w:val="left"/>
      </w:pPr>
      <w:r>
        <w:rPr>
          <w:rFonts w:ascii="" w:hAnsi="" w:cs="" w:eastAsia=""/>
          <w:b w:val="false"/>
          <w:i w:val="false"/>
          <w:strike w:val="false"/>
          <w:color w:val=""/>
          <w:sz w:val="24"/>
        </w:rPr>
        <w:t>I.</w:t>
      </w:r>
      <w:r>
        <w:rPr>
          <w:rFonts w:ascii="" w:hAnsi="" w:cs="" w:eastAsia=""/>
          <w:b w:val="false"/>
          <w:i w:val="false"/>
          <w:strike w:val="false"/>
          <w:color w:val=""/>
          <w:sz w:val="24"/>
        </w:rPr>
        <w:t>Introduction</w:t>
      </w:r>
      <w:r>
        <w:rPr>
          <w:rFonts w:ascii="" w:hAnsi="" w:cs="" w:eastAsia=""/>
          <w:b w:val="false"/>
          <w:i w:val="false"/>
          <w:strike w:val="false"/>
          <w:color w:val="0000FF"/>
          <w:sz w:val="24"/>
        </w:rPr>
        <w:t>7</w:t>
      </w:r>
    </w:p>
    <w:p>
      <w:pPr>
        <w:pStyle w:val="TOC2"/>
        <w:jc w:val="left"/>
      </w:pPr>
      <w:r>
        <w:rPr>
          <w:rFonts w:ascii="" w:hAnsi="" w:cs="" w:eastAsia=""/>
          <w:b w:val="false"/>
          <w:i w:val="false"/>
          <w:strike w:val="false"/>
          <w:color w:val=""/>
          <w:sz w:val="24"/>
        </w:rPr>
        <w:t>Exports and International Competition</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Importers and Retailers</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Consumers</w:t>
      </w:r>
      <w:r>
        <w:rPr>
          <w:rFonts w:ascii="" w:hAnsi="" w:cs="" w:eastAsia=""/>
          <w:b w:val="false"/>
          <w:i w:val="false"/>
          <w:strike w:val="false"/>
          <w:color w:val="0000FF"/>
          <w:sz w:val="24"/>
        </w:rPr>
        <w:t>9</w:t>
      </w:r>
    </w:p>
    <w:p>
      <w:pPr>
        <w:pStyle w:val="TOC1"/>
        <w:jc w:val="left"/>
      </w:pPr>
      <w:r>
        <w:rPr>
          <w:rFonts w:ascii="" w:hAnsi="" w:cs="" w:eastAsia=""/>
          <w:b w:val="false"/>
          <w:i w:val="false"/>
          <w:strike w:val="false"/>
          <w:color w:val=""/>
          <w:sz w:val="24"/>
        </w:rPr>
        <w:t>II.</w:t>
      </w:r>
      <w:r>
        <w:rPr>
          <w:rFonts w:ascii="" w:hAnsi="" w:cs="" w:eastAsia=""/>
          <w:b w:val="false"/>
          <w:i w:val="false"/>
          <w:strike w:val="false"/>
          <w:color w:val=""/>
          <w:sz w:val="24"/>
        </w:rPr>
        <w:t>The Need to Amend the Fair Packaging and Labeling Act</w:t>
      </w:r>
      <w:r>
        <w:rPr>
          <w:rFonts w:ascii="" w:hAnsi="" w:cs="" w:eastAsia=""/>
          <w:b w:val="false"/>
          <w:i w:val="false"/>
          <w:strike w:val="false"/>
          <w:color w:val="0000FF"/>
          <w:sz w:val="24"/>
        </w:rPr>
        <w:t>11</w:t>
      </w:r>
    </w:p>
    <w:p>
      <w:pPr>
        <w:pStyle w:val="TOC2"/>
        <w:jc w:val="left"/>
      </w:pPr>
      <w:r>
        <w:rPr>
          <w:rFonts w:ascii="" w:hAnsi="" w:cs="" w:eastAsia=""/>
          <w:b w:val="false"/>
          <w:i w:val="false"/>
          <w:strike w:val="false"/>
          <w:color w:val=""/>
          <w:sz w:val="24"/>
        </w:rPr>
        <w:t>European Union Will Require Metric-Only labeling by 2010</w:t>
      </w:r>
      <w:r>
        <w:rPr>
          <w:rFonts w:ascii="" w:hAnsi="" w:cs="" w:eastAsia=""/>
          <w:b w:val="false"/>
          <w:i w:val="false"/>
          <w:strike w:val="false"/>
          <w:color w:val="0000FF"/>
          <w:sz w:val="24"/>
        </w:rPr>
        <w:t>13</w:t>
      </w:r>
    </w:p>
    <w:p>
      <w:pPr>
        <w:pStyle w:val="TOC1"/>
        <w:jc w:val="left"/>
      </w:pPr>
      <w:r>
        <w:rPr>
          <w:rFonts w:ascii="" w:hAnsi="" w:cs="" w:eastAsia=""/>
          <w:b w:val="false"/>
          <w:i w:val="false"/>
          <w:strike w:val="false"/>
          <w:color w:val=""/>
          <w:sz w:val="24"/>
        </w:rPr>
        <w:t>III.</w:t>
      </w:r>
      <w:r>
        <w:rPr>
          <w:rFonts w:ascii="" w:hAnsi="" w:cs="" w:eastAsia=""/>
          <w:b w:val="false"/>
          <w:i w:val="false"/>
          <w:strike w:val="false"/>
          <w:color w:val=""/>
          <w:sz w:val="24"/>
        </w:rPr>
        <w:t>How Permissible Metric-Only Labeling Will Be Implemented: Concerns and Benefits</w:t>
      </w:r>
      <w:r>
        <w:rPr>
          <w:rFonts w:ascii="" w:hAnsi="" w:cs="" w:eastAsia=""/>
          <w:b w:val="false"/>
          <w:i w:val="false"/>
          <w:strike w:val="false"/>
          <w:color w:val="0000FF"/>
          <w:sz w:val="24"/>
        </w:rPr>
        <w:t>13</w:t>
      </w:r>
    </w:p>
    <w:p>
      <w:pPr>
        <w:pStyle w:val="TOC2"/>
        <w:jc w:val="left"/>
      </w:pPr>
      <w:r>
        <w:rPr>
          <w:rFonts w:ascii="" w:hAnsi="" w:cs="" w:eastAsia=""/>
          <w:b w:val="false"/>
          <w:i w:val="false"/>
          <w:strike w:val="false"/>
          <w:color w:val=""/>
          <w:sz w:val="24"/>
        </w:rPr>
        <w:t>Comments from Some Members of the Food Industry</w:t>
      </w:r>
      <w:r>
        <w:rPr>
          <w:rFonts w:ascii="" w:hAnsi="" w:cs="" w:eastAsia=""/>
          <w:b w:val="false"/>
          <w:i w:val="false"/>
          <w:strike w:val="false"/>
          <w:color w:val="0000FF"/>
          <w:sz w:val="24"/>
        </w:rPr>
        <w:t>15</w:t>
      </w:r>
    </w:p>
    <w:p>
      <w:pPr>
        <w:pStyle w:val="TOC1"/>
        <w:jc w:val="left"/>
      </w:pPr>
      <w:r>
        <w:rPr>
          <w:rFonts w:ascii="" w:hAnsi="" w:cs="" w:eastAsia=""/>
          <w:b w:val="false"/>
          <w:i w:val="false"/>
          <w:strike w:val="false"/>
          <w:color w:val=""/>
          <w:sz w:val="24"/>
        </w:rPr>
        <w:t>IV.</w:t>
      </w:r>
      <w:r>
        <w:rPr>
          <w:rFonts w:ascii="" w:hAnsi="" w:cs="" w:eastAsia=""/>
          <w:b w:val="false"/>
          <w:i w:val="false"/>
          <w:strike w:val="false"/>
          <w:color w:val=""/>
          <w:sz w:val="24"/>
        </w:rPr>
        <w:t>Proposal to Amend the Fair Packaging and Labeling Act (FPLA)</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a.</w:t>
      </w:r>
      <w:r>
        <w:rPr>
          <w:rFonts w:ascii="" w:hAnsi="" w:cs="" w:eastAsia=""/>
          <w:b w:val="false"/>
          <w:i w:val="false"/>
          <w:strike w:val="false"/>
          <w:color w:val=""/>
          <w:sz w:val="24"/>
        </w:rPr>
        <w:t>Objectives</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b.</w:t>
      </w:r>
      <w:r>
        <w:rPr>
          <w:rFonts w:ascii="" w:hAnsi="" w:cs="" w:eastAsia=""/>
          <w:b w:val="false"/>
          <w:i w:val="false"/>
          <w:strike w:val="false"/>
          <w:color w:val=""/>
          <w:sz w:val="24"/>
        </w:rPr>
        <w:t xml:space="preserve"> Background Information on the Fair Packaging and Labeling Act .</w:t>
      </w:r>
      <w:r>
        <w:rPr>
          <w:rFonts w:ascii="" w:hAnsi="" w:cs="" w:eastAsia=""/>
          <w:b w:val="false"/>
          <w:i w:val="false"/>
          <w:strike w:val="false"/>
          <w:color w:val="0000FF"/>
          <w:sz w:val="24"/>
        </w:rPr>
        <w:t>16</w:t>
      </w:r>
    </w:p>
    <w:p>
      <w:pPr>
        <w:pStyle w:val="TOC1"/>
        <w:jc w:val="left"/>
      </w:pPr>
      <w:r>
        <w:rPr>
          <w:rFonts w:ascii="" w:hAnsi="" w:cs="" w:eastAsia=""/>
          <w:b w:val="false"/>
          <w:i w:val="false"/>
          <w:strike w:val="false"/>
          <w:color w:val=""/>
          <w:sz w:val="24"/>
        </w:rPr>
        <w:t>V.</w:t>
      </w:r>
      <w:r>
        <w:rPr>
          <w:rFonts w:ascii="" w:hAnsi="" w:cs="" w:eastAsia=""/>
          <w:b w:val="false"/>
          <w:i w:val="false"/>
          <w:strike w:val="false"/>
          <w:color w:val=""/>
          <w:sz w:val="24"/>
        </w:rPr>
        <w:t>Proposal to Amend the FPLA for Permissible Metric-Only Labeling</w:t>
      </w:r>
      <w:r>
        <w:rPr>
          <w:rFonts w:ascii="" w:hAnsi="" w:cs="" w:eastAsia=""/>
          <w:b w:val="false"/>
          <w:i w:val="false"/>
          <w:strike w:val="false"/>
          <w:color w:val="0000FF"/>
          <w:sz w:val="24"/>
        </w:rPr>
        <w:t>17</w:t>
      </w:r>
    </w:p>
    <w:p>
      <w:pPr>
        <w:pStyle w:val="TOC1"/>
        <w:jc w:val="left"/>
      </w:pPr>
      <w:r>
        <w:rPr>
          <w:rFonts w:ascii="" w:hAnsi="" w:cs="" w:eastAsia=""/>
          <w:b w:val="false"/>
          <w:i w:val="false"/>
          <w:strike w:val="false"/>
          <w:color w:val=""/>
          <w:sz w:val="24"/>
        </w:rPr>
        <w:t>VI.</w:t>
      </w:r>
      <w:r>
        <w:rPr>
          <w:rFonts w:ascii="" w:hAnsi="" w:cs="" w:eastAsia=""/>
          <w:b w:val="false"/>
          <w:i w:val="false"/>
          <w:strike w:val="false"/>
          <w:color w:val=""/>
          <w:sz w:val="24"/>
        </w:rPr>
        <w:t>Conclusions</w:t>
      </w:r>
      <w:r>
        <w:rPr>
          <w:rFonts w:ascii="" w:hAnsi="" w:cs="" w:eastAsia=""/>
          <w:b w:val="false"/>
          <w:i w:val="false"/>
          <w:strike w:val="false"/>
          <w:color w:val="0000FF"/>
          <w:sz w:val="24"/>
        </w:rPr>
        <w:t>18</w:t>
      </w:r>
    </w:p>
    <w:p>
      <w:pPr>
        <w:pStyle w:val="TOC1"/>
        <w:jc w:val="left"/>
      </w:pPr>
      <w:r>
        <w:rPr>
          <w:rFonts w:ascii="" w:hAnsi="" w:cs="" w:eastAsia=""/>
          <w:b w:val="false"/>
          <w:i w:val="false"/>
          <w:strike w:val="false"/>
          <w:color w:val=""/>
          <w:sz w:val="24"/>
        </w:rPr>
        <w:t>Appendix A.  European Union Letter regarding Metric-Only Labeling Directive</w:t>
      </w:r>
      <w:r>
        <w:rPr>
          <w:rFonts w:ascii="" w:hAnsi="" w:cs="" w:eastAsia=""/>
          <w:b w:val="false"/>
          <w:i w:val="false"/>
          <w:strike w:val="false"/>
          <w:color w:val="0000FF"/>
          <w:sz w:val="24"/>
        </w:rPr>
        <w:t>20</w:t>
      </w:r>
    </w:p>
    <w:p>
      <w:pPr>
        <w:pStyle w:val="TOC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r>
        <w:rPr>
          <w:rFonts w:ascii="" w:hAnsi="" w:cs="" w:eastAsia=""/>
          <w:b w:val="false"/>
          <w:i w:val="false"/>
          <w:strike w:val="false"/>
          <w:color w:val=""/>
          <w:sz w:val="24"/>
        </w:rPr>
        <w:t xml:space="preserve">with proposed </w:t>
      </w:r>
      <w:r>
        <w:rPr>
          <w:rFonts w:ascii="" w:hAnsi="" w:cs="" w:eastAsia=""/>
          <w:b w:val="false"/>
          <w:i w:val="false"/>
          <w:strike w:val="false"/>
          <w:color w:val=""/>
          <w:sz w:val="24"/>
        </w:rPr>
        <w:t xml:space="preserve">                  amendments shown in context.</w:t>
      </w:r>
      <w:r>
        <w:rPr>
          <w:rFonts w:ascii="" w:hAnsi="" w:cs="" w:eastAsia=""/>
          <w:b w:val="false"/>
          <w:i w:val="false"/>
          <w:strike w:val="false"/>
          <w:color w:val="0000FF"/>
          <w:sz w:val="24"/>
        </w:rPr>
        <w:t>21</w:t>
      </w:r>
    </w:p>
    <w:p>
      <w:pPr>
        <w:pStyle w:val="Heading1"/>
        <w:jc w:val="left"/>
      </w:pPr>
      <w:r>
        <w:rPr>
          <w:rFonts w:ascii="" w:hAnsi="" w:cs="" w:eastAsia=""/>
          <w:b w:val="false"/>
          <w:i w:val="false"/>
          <w:strike w:val="false"/>
          <w:color w:val="000080"/>
          <w:sz w:val="22"/>
        </w:rPr>
        <w:t>A Message from the Director of NIST’s Technology Services</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false"/>
          <w:i w:val="false"/>
          <w:strike w:val="false"/>
          <w:color w:val=""/>
          <w:sz w:val="20"/>
        </w:rPr>
        <w:t/>
      </w: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xml:space="preserve">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2018-05-09T20:19:12Z</dcterms:created>
  <dc:creator>Apache POI</dc:creator>
</cp:coreProperties>
</file>