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/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iscal year 1998, the preliminary total caseload increased to 3.1 percent.  Three regions, however, reported decreases in the preliminary total caseload for fiscal year 1998.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>Child Support Enforcement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>Program Charts and Graphs</w:t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>Program Charts and Graphs for FY 1998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following preliminary charts and graphs of the Child Support Enforcement program financial and statistical data are for fiscal year 1998 and previous years.  </w:t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>Total Collections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Preliminary total child support collections for fiscal year 1998 were $14.3 billion, this represents a 7.4 percent increase over the amount collected in fiscal year 1997.  Of these monies, 81 percent were non-TANF collections, 19 percent were TANF/FC collections, and three-tenths of a percent were foster care (FC), Title IV-E, collections as shown in Figure 1.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1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Total Collections, FY 1998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$14.3 Billion</w:t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Total Collections.  </w:t>
      </w:r>
      <w:r>
        <w:rPr>
          <w:rFonts w:ascii="" w:hAnsi="" w:cs="" w:eastAsia=""/>
          <w:b w:val="false"/>
          <w:i w:val="false"/>
          <w:strike w:val="false"/>
          <w:color w:val=""/>
        </w:rPr>
        <w:t>Over $14 billion was collected in fiscal year 1998, this is a 45 percent increase from the $9.8 collected in FY 1994. (Figure 2)  During the five-year span, TANF/FC collections increased from $2.5 billion in FY 1994 to $2.6 billion in fiscal year 1998.  Non-TANF collections jumped from $7.3 billion in 1994 to $11.7 billion in 1998, a 60 percent increase.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2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Total Collections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(In $Billions)</w:t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TANF/FC Collections.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Preliminary TANF/FC collections amounted to $2.6 billion in fiscal year 1998, a decrease of 6.8 percent over the previous year.   This is likely due to a drop in the TANF caseload, caused by the Personal Responsibility and Work Opportunity Reconciliation Act of 1996 (PRWORA).  The States’ share of TANF/FC collections were $1.1 billion, this accounted for 41 percent of the collections. The Federal share was $960 million or 36 percent. TANF/FC families received $152 million or 6 percent of these payments.  States’ received $396 million or 15 percent for incentive payments.  About $52 million or 2 percent were for medical support payments (Figure 3).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3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Distribution of TANF/FC Collections, FY 1998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$2.6 Billion</w:t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>Collections per Paying Case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2018-05-09T20:19:26Z</dcterms:created>
  <dc:creator>Apache POI</dc:creator>
</cp:coreProperties>
</file>