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June 4, 1999</w:t>
      </w:r>
      <w:r>
        <w:rPr>
          <w:rFonts w:ascii="" w:hAnsi="" w:cs="" w:eastAsia=""/>
          <w:b w:val="false"/>
          <w:i w:val="false"/>
          <w:strike w:val="false"/>
          <w:color w:val=""/>
        </w:rPr>
        <w:t>DCL -99-55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Dear Colleague: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Arial Narrow" w:hAnsi="Arial Narrow" w:cs="Arial Narrow" w:eastAsia="Arial Narrow"/>
          <w:b w:val="true"/>
          <w:i w:val="true"/>
          <w:strike w:val="false"/>
          <w:color w:val=""/>
          <w:sz w:val="16"/>
        </w:rPr>
        <w:t/>
      </w:r>
    </w:p>
    <w:p>
      <w:pPr>
        <w:pStyle w:val="Heading5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Heading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BodyText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2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00 percent increase from the 676,459 reported during fiscal year 1994 (Figure 10).  In fiscal year 1998, forty-one states reported a total of 614,081 in-hospital acknowledgements.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Figure 10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Preliminary Paternities Established and Acknowledged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>Some States voluntarily report in-hospital/paternity acknowledgement information to OCSE.  In-hospital numbers include an unknown  number  of  acknowledgements for children in the IV-D caseload.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>Data are preliminary for FY 1998.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>Appendix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2018-05-09T20:19:27Z</dcterms:created>
  <dc:creator>Apache POI</dc:creator>
</cp:coreProperties>
</file>