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may treated as an annual in parts of the country where the usually persistent plant parts do not survive more than one growing season.</w:t>
      </w:r>
    </w:p>
    <w:p>
      <w:pPr>
        <w:pStyle w:val=""/>
        <w:jc w:val="left"/>
      </w:pPr>
      <w:r>
        <w:rPr>
          <w:rFonts w:ascii="" w:hAnsi="" w:cs="" w:eastAsia=""/>
          <w:b w:val="true"/>
          <w:i w:val="false"/>
          <w:strike w:val="false"/>
          <w:color w:val=""/>
        </w:rPr>
        <w:t>Hybrid</w:t>
      </w:r>
      <w:r>
        <w:rPr>
          <w:rFonts w:ascii="" w:hAnsi="" w:cs="" w:eastAsia=""/>
          <w:b w:val="false"/>
          <w:i w:val="false"/>
          <w:strike w:val="false"/>
          <w:color w:val=""/>
        </w:rPr>
        <w:t xml:space="preserve"> - offspring of a cross between genetically dissimilar individuals.  First-generation progeny resulting from the controlled cross-fertilization between individuals that differ in one or more genes.</w:t>
      </w:r>
    </w:p>
    <w:p>
      <w:pPr>
        <w:pStyle w:val="Footer"/>
        <w:jc w:val="left"/>
      </w:pPr>
      <w:r>
        <w:rPr>
          <w:rFonts w:ascii="" w:hAnsi="" w:cs="" w:eastAsia=""/>
          <w:b w:val="true"/>
          <w:i w:val="false"/>
          <w:strike w:val="false"/>
          <w:color w:val=""/>
        </w:rPr>
        <w:t>Increase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 production of  seed or other reproductive parts of plant material to be made available for use in evaluations, field plantings, demonstration plantings, educational plantings or for distribution.  See also “initial increase”.</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2018-05-09T20:19:30Z</dcterms:created>
  <dc:creator>Apache POI</dc:creator>
</cp:coreProperties>
</file>