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>
  <w:body>
    <w:p>
      <w:pPr>
        <w:pStyle w:val="Heading1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</w:p>
    <w:p>
      <w:pPr>
        <w:pStyle w:val=""/>
        <w:jc w:val="both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2"/>
        <w:jc w:val="center"/>
      </w:pPr>
      <w:r>
        <w:rPr>
          <w:rFonts w:ascii="" w:hAnsi="" w:cs="" w:eastAsia=""/>
          <w:b w:val="false"/>
          <w:i w:val="true"/>
          <w:strike w:val="false"/>
          <w:color w:val=""/>
        </w:rPr>
        <w:t/>
      </w:r>
      <w:r>
        <w:rPr>
          <w:rFonts w:ascii="" w:hAnsi="" w:cs="" w:eastAsia=""/>
          <w:b w:val="false"/>
          <w:i w:val="true"/>
          <w:strike w:val="false"/>
          <w:color w:val=""/>
        </w:rPr>
        <w:t/>
      </w:r>
      <w:r>
        <w:rPr>
          <w:rFonts w:ascii="" w:hAnsi="" w:cs="" w:eastAsia=""/>
          <w:b w:val="false"/>
          <w:i w:val="true"/>
          <w:strike w:val="false"/>
          <w:color w:val=""/>
        </w:rPr>
        <w:t/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</w:p>
    <w:p>
      <w:pPr>
        <w:pStyle w:val=""/>
        <w:jc w:val="both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</w:p>
    <w:p>
      <w:pPr>
        <w:jc w:val="center"/>
      </w:pPr>
    </w:p>
    <w:p>
      <w:r>
        <w:drawing>
          <wp:inline distT="0" distB="0" distL="0" distR="0">
            <wp:extent cx="5715000" cy="1419225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"/>
        <w:jc w:val="both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</w:p>
    <w:p>
      <w:pPr>
        <w:pStyle w:val=""/>
        <w:jc w:val="both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</w:p>
    <w:p>
      <w:pPr>
        <w:pStyle w:val=""/>
        <w:jc w:val="both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</w:p>
    <w:p>
      <w:pPr>
        <w:pStyle w:val=""/>
        <w:jc w:val="both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</w:p>
    <w:p>
      <w:pPr>
        <w:pStyle w:val=""/>
        <w:jc w:val="both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</w:p>
    <w:p>
      <w:pPr>
        <w:pStyle w:val="BodyText"/>
        <w:jc w:val="both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"/>
        <w:jc w:val="both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"/>
        <w:jc w:val="both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"/>
        <w:jc w:val="both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jc w:val="center"/>
      </w:pPr>
    </w:p>
    <w:p>
      <w:r>
        <w:drawing>
          <wp:inline distT="0" distB="0" distL="0" distR="0">
            <wp:extent cx="2000250" cy="914400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jc w:val="both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jc w:val="center"/>
      </w:pPr>
    </w:p>
    <w:p>
      <w:r>
        <w:drawing>
          <wp:inline distT="0" distB="0" distL="0" distR="0">
            <wp:extent cx="1714500" cy="1266825"/>
            <wp:docPr id="4" name="Picture 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r>
        <w:drawing>
          <wp:inline distT="0" distB="0" distL="0" distR="0">
            <wp:extent cx="1714500" cy="1162050"/>
            <wp:docPr id="5" name="Picture 5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nerated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jc w:val="both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"/>
        <w:jc w:val="both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jc w:val="center"/>
      </w:pPr>
    </w:p>
    <w:p>
      <w:r>
        <w:drawing>
          <wp:inline distT="0" distB="0" distL="0" distR="0">
            <wp:extent cx="1714500" cy="914400"/>
            <wp:docPr id="6" name="Picture 6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nerated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r>
        <w:drawing>
          <wp:inline distT="0" distB="0" distL="0" distR="0">
            <wp:extent cx="1619250" cy="1257300"/>
            <wp:docPr id="7" name="Picture 7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ed"/>
                    <pic:cNvPicPr/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jc w:val="both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jc w:val="center"/>
      </w:pPr>
    </w:p>
    <w:p>
      <w:r>
        <w:drawing>
          <wp:inline distT="0" distB="0" distL="0" distR="0">
            <wp:extent cx="2057400" cy="1409700"/>
            <wp:docPr id="8" name="Picture 8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nerated"/>
                    <pic:cNvPicPr/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</w:p>
    <w:p>
      <w:pPr>
        <w:pStyle w:val="BodyText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</w:p>
    <w:p>
      <w:pPr>
        <w:jc w:val="center"/>
      </w:pPr>
    </w:p>
    <w:p>
      <w:r>
        <w:drawing>
          <wp:inline distT="0" distB="0" distL="0" distR="0">
            <wp:extent cx="5600700" cy="1028700"/>
            <wp:docPr id="9" name="Picture 9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enerated"/>
                    <pic:cNvPicPr/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jc w:val="both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  <w:sz w:val="18"/>
        </w:rPr>
        <w:t/>
      </w:r>
    </w:p>
    <w:p>
      <w:pPr>
        <w:jc w:val="center"/>
      </w:pPr>
    </w:p>
    <w:p>
      <w:r>
        <w:drawing>
          <wp:inline distT="0" distB="0" distL="0" distR="0">
            <wp:extent cx="733425" cy="914400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r>
        <w:drawing>
          <wp:inline distT="0" distB="0" distL="0" distR="0">
            <wp:extent cx="1257300" cy="1028700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jc w:val="center"/>
      </w:pPr>
    </w:p>
    <w:p>
      <w:r>
        <w:drawing>
          <wp:inline distT="0" distB="0" distL="0" distR="0">
            <wp:extent cx="819150" cy="1028700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r>
        <w:drawing>
          <wp:inline distT="0" distB="0" distL="0" distR="0">
            <wp:extent cx="771525" cy="1057275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r>
        <w:drawing>
          <wp:inline distT="0" distB="0" distL="0" distR="0">
            <wp:extent cx="762000" cy="1143000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r>
        <w:drawing>
          <wp:inline distT="0" distB="0" distL="0" distR="0">
            <wp:extent cx="1257300" cy="1000125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r>
        <w:drawing>
          <wp:inline distT="0" distB="0" distL="0" distR="0">
            <wp:extent cx="1257300" cy="914400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jc w:val="center"/>
      </w:pPr>
    </w:p>
    <w:p>
      <w:r>
        <w:drawing>
          <wp:inline distT="0" distB="0" distL="0" distR="0">
            <wp:extent cx="1828800" cy="1419225"/>
            <wp:docPr id="11" name="Picture 11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enerated"/>
                    <pic:cNvPicPr/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jc w:val="center"/>
      </w:pPr>
    </w:p>
    <w:p>
      <w:r>
        <w:drawing>
          <wp:inline distT="0" distB="0" distL="0" distR="0">
            <wp:extent cx="2514600" cy="2057400"/>
            <wp:docPr id="12" name="Picture 1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enerated"/>
                    <pic:cNvPicPr/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tbl>
      <w:tblPr>
        <w:tblStyle w:val=""/>
        <w:tblStyleRowBandSize w:val="0"/>
        <w:tblStyleColBandSize w:val="0"/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CellMar>
          <w:top w:type="dxa" w:w="0"/>
          <w:left w:type="dxa" w:w="0"/>
          <w:bottom w:type="dxa" w:w="0"/>
          <w:right w:type="dxa" w:w="0"/>
        </w:tblCellMar>
      </w:tblPr>
      <w:tr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ne="http://schemas.microsoft.com/office/word/2006/wordml" xmlns:wpg="http://schemas.microsoft.com/office/word/2010/wordprocessingGroup" xmlns:wpi="http://schemas.microsoft.com/office/word/2010/wordprocessingInk" xmlns:r="http://schemas.openxmlformats.org/officeDocument/2006/relationships" xmlns:cx="http://schemas.microsoft.com/office/drawing/2014/chartex" xmlns:v="urn:schemas-microsoft-com:vml" xmlns:wps="http://schemas.microsoft.com/office/word/2010/wordprocessingShape" xmlns:w16cid="http://schemas.microsoft.com/office/word/2016/wordml/cid" w:rsidR="00D079A5" w:rsidTr="00CC3631">
        <w:tblPrEx>
          <w:tblCellMar>
            <w:top w:type="dxa" w:w="0"/>
            <w:bottom w:type="dxa" w:w="0"/>
          </w:tblCellMar>
        </w:tblPrEx>
        <w:tc>
          <w:tcPr>
            <w:tcW w:type="dxa" w:w="1188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Toxic Compounds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(cancer risk)</w:t>
            </w:r>
          </w:p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1 in 100,000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1 in 1,000,000</w:t>
            </w:r>
          </w:p>
        </w:tc>
      </w:tr>
      <w:tr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ne="http://schemas.microsoft.com/office/word/2006/wordml" xmlns:wpg="http://schemas.microsoft.com/office/word/2010/wordprocessingGroup" xmlns:wpi="http://schemas.microsoft.com/office/word/2010/wordprocessingInk" xmlns:r="http://schemas.openxmlformats.org/officeDocument/2006/relationships" xmlns:cx="http://schemas.microsoft.com/office/drawing/2014/chartex" xmlns:v="urn:schemas-microsoft-com:vml" xmlns:wps="http://schemas.microsoft.com/office/word/2010/wordprocessingShape" xmlns:w16cid="http://schemas.microsoft.com/office/word/2016/wordml/cid" w:rsidR="00D079A5" w:rsidTr="00CC3631">
        <w:tblPrEx>
          <w:tblCellMar>
            <w:top w:type="dxa" w:w="0"/>
            <w:bottom w:type="dxa" w:w="0"/>
          </w:tblCellMar>
        </w:tblPrEx>
        <w:tc>
          <w:tcPr>
            <w:tcW w:type="dxa" w:w="1188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Acetaldehyde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.45ug/m3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4.5ug/m3</w:t>
            </w:r>
          </w:p>
        </w:tc>
      </w:tr>
      <w:tr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ne="http://schemas.microsoft.com/office/word/2006/wordml" xmlns:wpg="http://schemas.microsoft.com/office/word/2010/wordprocessingGroup" xmlns:wpi="http://schemas.microsoft.com/office/word/2010/wordprocessingInk" xmlns:r="http://schemas.openxmlformats.org/officeDocument/2006/relationships" xmlns:cx="http://schemas.microsoft.com/office/drawing/2014/chartex" xmlns:v="urn:schemas-microsoft-com:vml" xmlns:wps="http://schemas.microsoft.com/office/word/2010/wordprocessingShape" xmlns:w16cid="http://schemas.microsoft.com/office/word/2016/wordml/cid" w:rsidR="00D079A5" w:rsidTr="00CC3631">
        <w:tblPrEx>
          <w:tblCellMar>
            <w:top w:type="dxa" w:w="0"/>
            <w:bottom w:type="dxa" w:w="0"/>
          </w:tblCellMar>
        </w:tblPrEx>
        <w:tc>
          <w:tcPr>
            <w:tcW w:type="dxa" w:w="1188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Formaldehyde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.077ug/m3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.77ug/m3</w:t>
            </w:r>
          </w:p>
        </w:tc>
      </w:tr>
      <w:tr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ne="http://schemas.microsoft.com/office/word/2006/wordml" xmlns:wpg="http://schemas.microsoft.com/office/word/2010/wordprocessingGroup" xmlns:wpi="http://schemas.microsoft.com/office/word/2010/wordprocessingInk" xmlns:r="http://schemas.openxmlformats.org/officeDocument/2006/relationships" xmlns:cx="http://schemas.microsoft.com/office/drawing/2014/chartex" xmlns:v="urn:schemas-microsoft-com:vml" xmlns:wps="http://schemas.microsoft.com/office/word/2010/wordprocessingShape" xmlns:w16cid="http://schemas.microsoft.com/office/word/2016/wordml/cid" w:rsidR="00D079A5" w:rsidTr="00CC3631">
        <w:tblPrEx>
          <w:tblCellMar>
            <w:top w:type="dxa" w:w="0"/>
            <w:bottom w:type="dxa" w:w="0"/>
          </w:tblCellMar>
        </w:tblPrEx>
        <w:tc>
          <w:tcPr>
            <w:tcW w:type="dxa" w:w="1188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1,3-Butadiene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.3ug/m3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.033ug/m3</w:t>
            </w:r>
          </w:p>
        </w:tc>
      </w:tr>
      <w:tr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ne="http://schemas.microsoft.com/office/word/2006/wordml" xmlns:wpg="http://schemas.microsoft.com/office/word/2010/wordprocessingGroup" xmlns:wpi="http://schemas.microsoft.com/office/word/2010/wordprocessingInk" xmlns:r="http://schemas.openxmlformats.org/officeDocument/2006/relationships" xmlns:cx="http://schemas.microsoft.com/office/drawing/2014/chartex" xmlns:v="urn:schemas-microsoft-com:vml" xmlns:wps="http://schemas.microsoft.com/office/word/2010/wordprocessingShape" xmlns:w16cid="http://schemas.microsoft.com/office/word/2016/wordml/cid" w:rsidR="00D079A5" w:rsidTr="00CC3631">
        <w:tblPrEx>
          <w:tblCellMar>
            <w:top w:type="dxa" w:w="0"/>
            <w:bottom w:type="dxa" w:w="0"/>
          </w:tblCellMar>
        </w:tblPrEx>
        <w:tc>
          <w:tcPr>
            <w:tcW w:type="dxa" w:w="1188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Benzene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1.3ug/m3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keepNext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.13ug/m3</w:t>
            </w:r>
          </w:p>
        </w:tc>
      </w:tr>
    </w:tbl>
    <w:p>
      <w:r>
        <w:t>
</w:t>
        <w:t>
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jc w:val="center"/>
      </w:pPr>
    </w:p>
    <w:p>
      <w:r>
        <w:drawing>
          <wp:inline distT="0" distB="0" distL="0" distR="0">
            <wp:extent cx="2057400" cy="1428750"/>
            <wp:docPr id="13" name="Picture 1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enerated"/>
                    <pic:cNvPicPr/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r>
        <w:drawing>
          <wp:inline distT="0" distB="0" distL="0" distR="0">
            <wp:extent cx="2057400" cy="1362075"/>
            <wp:docPr id="14" name="Picture 1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enerated"/>
                    <pic:cNvPicPr/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he Wisconsin Department of Natural Resources (WDNR).  </w:t>
      </w:r>
      <w:r>
        <w:rPr>
          <w:rFonts w:ascii="" w:hAnsi="" w:cs="" w:eastAsia=""/>
          <w:b w:val="false"/>
          <w:i w:val="false"/>
          <w:strike w:val="false"/>
          <w:color w:val=""/>
        </w:rPr>
        <w:t>Typically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 mitigation measures such as removing the effected soil and monitoring for 1-2 years should rectify the situation. </w:t>
      </w:r>
    </w:p>
    <w:p>
      <w:pPr>
        <w:pStyle w:val="BodyText2"/>
        <w:jc w:val="right"/>
      </w:pPr>
      <w:r>
        <w:rPr>
          <w:rFonts w:ascii="" w:hAnsi="" w:cs="" w:eastAsia=""/>
          <w:b w:val="false"/>
          <w:i w:val="false"/>
          <w:strike w:val="false"/>
          <w:color w:val=""/>
        </w:rPr>
        <w:t>(For more information regarding the groundwater study click here [http://www.renewthevalley.org/files/pdf/epareport.pdf])</w:t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Stormwater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 Management: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 xml:space="preserve">The </w:t>
      </w:r>
      <w:r>
        <w:rPr>
          <w:rFonts w:ascii="" w:hAnsi="" w:cs="" w:eastAsia=""/>
          <w:b w:val="false"/>
          <w:i w:val="false"/>
          <w:strike w:val="false"/>
          <w:color w:val=""/>
        </w:rPr>
        <w:t>Menomonee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 </w:t>
      </w:r>
      <w:r>
        <w:rPr>
          <w:rFonts w:ascii="" w:hAnsi="" w:cs="" w:eastAsia=""/>
          <w:b w:val="false"/>
          <w:i w:val="false"/>
          <w:strike w:val="false"/>
          <w:color w:val=""/>
        </w:rPr>
        <w:t>Valley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 </w:t>
      </w:r>
      <w:r>
        <w:rPr>
          <w:rFonts w:ascii="" w:hAnsi="" w:cs="" w:eastAsia=""/>
          <w:b w:val="false"/>
          <w:i w:val="false"/>
          <w:strike w:val="false"/>
          <w:color w:val=""/>
        </w:rPr>
        <w:t>stormwater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 management stratagem is founded on natural means.  Developers are restoring wetlands and green space once prevalent in the valley and incorporating </w:t>
      </w:r>
      <w:r>
        <w:rPr>
          <w:rFonts w:ascii="" w:hAnsi="" w:cs="" w:eastAsia=""/>
          <w:b w:val="false"/>
          <w:i w:val="false"/>
          <w:strike w:val="false"/>
          <w:color w:val=""/>
        </w:rPr>
        <w:t>stormwater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 management into parks.  There will be two main </w:t>
      </w:r>
      <w:r>
        <w:rPr>
          <w:rFonts w:ascii="" w:hAnsi="" w:cs="" w:eastAsia=""/>
          <w:b w:val="false"/>
          <w:i w:val="false"/>
          <w:strike w:val="false"/>
          <w:color w:val=""/>
        </w:rPr>
        <w:t>stormwater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 management areas and a </w:t>
      </w:r>
      <w:r>
        <w:rPr>
          <w:rFonts w:ascii="" w:hAnsi="" w:cs="" w:eastAsia=""/>
          <w:b w:val="false"/>
          <w:i w:val="false"/>
          <w:strike w:val="false"/>
          <w:color w:val=""/>
        </w:rPr>
        <w:t>Swamp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 </w:t>
      </w:r>
      <w:r>
        <w:rPr>
          <w:rFonts w:ascii="" w:hAnsi="" w:cs="" w:eastAsia=""/>
          <w:b w:val="false"/>
          <w:i w:val="false"/>
          <w:strike w:val="false"/>
          <w:color w:val=""/>
        </w:rPr>
        <w:t>Forest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 to accommodate </w:t>
      </w:r>
      <w:r>
        <w:rPr>
          <w:rFonts w:ascii="" w:hAnsi="" w:cs="" w:eastAsia=""/>
          <w:b w:val="false"/>
          <w:i w:val="false"/>
          <w:strike w:val="false"/>
          <w:color w:val=""/>
        </w:rPr>
        <w:t>stormwater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 from the surrounding developments.  These three areas will treat </w:t>
      </w:r>
      <w:r>
        <w:rPr>
          <w:rFonts w:ascii="" w:hAnsi="" w:cs="" w:eastAsia=""/>
          <w:b w:val="false"/>
          <w:i w:val="false"/>
          <w:strike w:val="false"/>
          <w:color w:val=""/>
        </w:rPr>
        <w:t>stormwater</w:t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10" Target="media/image8.jpeg" Type="http://schemas.openxmlformats.org/officeDocument/2006/relationships/image"/>
<Relationship Id="rId11" Target="media/image9.jpeg" Type="http://schemas.openxmlformats.org/officeDocument/2006/relationships/image"/>
<Relationship Id="rId12" Target="media/image10.jpeg" Type="http://schemas.openxmlformats.org/officeDocument/2006/relationships/image"/>
<Relationship Id="rId13" Target="media/image11.jpeg" Type="http://schemas.openxmlformats.org/officeDocument/2006/relationships/image"/>
<Relationship Id="rId14" Target="media/image12.jpeg" Type="http://schemas.openxmlformats.org/officeDocument/2006/relationships/image"/>
<Relationship Id="rId15" Target="media/image13.jpeg" Type="http://schemas.openxmlformats.org/officeDocument/2006/relationships/image"/>
<Relationship Id="rId2" Target="styles.xml" Type="http://schemas.openxmlformats.org/officeDocument/2006/relationships/styles"/>
<Relationship Id="rId3" Target="media/image1.jpeg" Type="http://schemas.openxmlformats.org/officeDocument/2006/relationships/image"/>
<Relationship Id="rId4" Target="media/image2.jpeg" Type="http://schemas.openxmlformats.org/officeDocument/2006/relationships/image"/>
<Relationship Id="rId5" Target="media/image3.jpeg" Type="http://schemas.openxmlformats.org/officeDocument/2006/relationships/image"/>
<Relationship Id="rId6" Target="media/image4.jpeg" Type="http://schemas.openxmlformats.org/officeDocument/2006/relationships/image"/>
<Relationship Id="rId7" Target="media/image5.jpeg" Type="http://schemas.openxmlformats.org/officeDocument/2006/relationships/image"/>
<Relationship Id="rId8" Target="media/image6.jpeg" Type="http://schemas.openxmlformats.org/officeDocument/2006/relationships/image"/>
<Relationship Id="rId9" Target="media/image7.jpe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2018-05-09T20:19:58Z</dcterms:created>
  <dc:creator>Apache POI</dc:creator>
</cp:coreProperties>
</file>