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Title"/>
        <w:jc w:val="left"/>
      </w:pPr>
      <w:r>
        <w:rPr>
          <w:rFonts w:ascii="" w:hAnsi="" w:cs="" w:eastAsia=""/>
          <w:b w:val="true"/>
          <w:i w:val="false"/>
          <w:strike w:val="false"/>
          <w:color w:val=""/>
          <w:sz w:val="28"/>
        </w:rPr>
        <w:t/>
      </w:r>
    </w:p>
    <w:p>
      <w:pPr>
        <w:pStyle w:val=""/>
        <w:jc w:val="center"/>
      </w:pPr>
      <w:r>
        <w:rPr>
          <w:rFonts w:ascii="" w:hAnsi="" w:cs="" w:eastAsia=""/>
          <w:b w:val="true"/>
          <w:i w:val="false"/>
          <w:strike w:val="false"/>
          <w:color w:val=""/>
          <w:sz w:val="28"/>
        </w:rPr>
        <w:t/>
      </w:r>
    </w:p>
    <w:p>
      <w:pPr>
        <w:pStyle w:val="Heading1"/>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tru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tbl>
      <w:tblPr>
        <w:tblStyle w:val=""/>
        <w:tblStyleRowBandSize w:val="0"/>
        <w:tblStyleColBandSize w:val="0"/>
        <w:tblW w:w="9488"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top w:color="auto" w:space="0" w:sz="4" w:val="single"/>
              <w:bottom w:color="auto" w:space="0" w:sz="4" w:val="single"/>
            </w:tcBorders>
            <w:noWrap/>
            <w:vAlign w:val="bottom"/>
          </w:tcPr>
          <w:p w:rsidP="00FC75E1" w:rsidR="00FA1A52" w:rsidRDefault="00FA1A52" w:rsidRPr="005C3B6F">
            <w:pPr>
              <w:spacing w:after="40" w:before="40" w:line="180" w:lineRule="exact"/>
              <w:ind w:left="2"/>
              <w:jc w:val="center"/>
              <w:rPr>
                <w:rFonts w:ascii="Arial" w:cs="Arial" w:eastAsia="Times New Roman" w:hAnsi="Arial"/>
                <w:sz w:val="18"/>
                <w:szCs w:val="18"/>
              </w:rPr>
            </w:pPr>
            <w:r w:rsidRPr="005C3B6F">
              <w:rPr>
                <w:rFonts w:ascii="Arial" w:cs="Arial" w:eastAsia="Times New Roman" w:hAnsi="Arial"/>
                <w:sz w:val="18"/>
                <w:szCs w:val="18"/>
              </w:rPr>
              <w:t>Activity</w:t>
            </w:r>
          </w:p>
        </w:tc>
        <w:tc>
          <w:tcPr>
            <w:tcW w:type="dxa" w:w="1391"/>
            <w:tcBorders>
              <w:top w:color="auto" w:space="0" w:sz="4" w:val="single"/>
              <w:bottom w:color="auto" w:space="0" w:sz="4" w:val="single"/>
            </w:tcBorders>
            <w:noWrap/>
            <w:vAlign w:val="bottom"/>
          </w:tcPr>
          <w:p w:rsidP="00FC75E1" w:rsidR="00FA1A52" w:rsidRDefault="00FA1A52" w:rsidRPr="005C3B6F">
            <w:pPr>
              <w:spacing w:after="40" w:before="40" w:line="180" w:lineRule="exact"/>
              <w:ind w:left="-108"/>
              <w:jc w:val="center"/>
              <w:rPr>
                <w:rFonts w:ascii="Arial" w:cs="Arial" w:eastAsia="Times New Roman" w:hAnsi="Arial"/>
                <w:sz w:val="18"/>
                <w:szCs w:val="18"/>
              </w:rPr>
            </w:pPr>
            <w:r w:rsidRPr="005C3B6F">
              <w:rPr>
                <w:rFonts w:ascii="Arial" w:cs="Arial" w:eastAsia="Times New Roman" w:hAnsi="Arial"/>
                <w:sz w:val="18"/>
                <w:szCs w:val="18"/>
              </w:rPr>
              <w:t>Population mean (min)</w:t>
            </w:r>
          </w:p>
        </w:tc>
        <w:tc>
          <w:tcPr>
            <w:tcW w:type="dxa" w:w="1468"/>
            <w:tcBorders>
              <w:top w:color="auto" w:space="0" w:sz="4" w:val="single"/>
              <w:bottom w:color="auto" w:space="0" w:sz="4" w:val="single"/>
            </w:tcBorders>
          </w:tcPr>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Doer</w:t>
            </w:r>
          </w:p>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mean (min)*</w:t>
            </w:r>
          </w:p>
        </w:tc>
        <w:tc>
          <w:tcPr>
            <w:tcW w:type="dxa" w:w="1980"/>
            <w:tcBorders>
              <w:top w:color="auto" w:space="0" w:sz="4" w:val="single"/>
              <w:bottom w:color="auto" w:space="0" w:sz="4" w:val="single"/>
            </w:tcBorders>
            <w:vAlign w:val="bottom"/>
          </w:tcPr>
          <w:p w:rsidP="00FC75E1" w:rsidR="00FA1A52" w:rsidRDefault="00FA1A52" w:rsidRPr="005C3B6F">
            <w:pPr>
              <w:spacing w:after="40" w:before="40" w:line="180" w:lineRule="exact"/>
              <w:jc w:val="center"/>
              <w:rPr>
                <w:rFonts w:ascii="Arial" w:cs="Arial" w:eastAsia="Times New Roman" w:hAnsi="Arial"/>
                <w:sz w:val="18"/>
                <w:szCs w:val="18"/>
              </w:rPr>
            </w:pPr>
            <w:r w:rsidRPr="005C3B6F">
              <w:rPr>
                <w:rFonts w:ascii="Arial" w:cs="Arial" w:eastAsia="Times New Roman" w:hAnsi="Arial"/>
                <w:sz w:val="18"/>
                <w:szCs w:val="18"/>
              </w:rPr>
              <w:t>Activity</w:t>
            </w:r>
          </w:p>
        </w:tc>
        <w:tc>
          <w:tcPr>
            <w:tcW w:type="dxa" w:w="1350"/>
            <w:tcBorders>
              <w:top w:color="auto" w:space="0" w:sz="4" w:val="single"/>
              <w:bottom w:color="auto" w:space="0" w:sz="4" w:val="single"/>
            </w:tcBorders>
            <w:vAlign w:val="bottom"/>
          </w:tcPr>
          <w:p w:rsidP="00FC75E1" w:rsidR="00FA1A52" w:rsidRDefault="00FA1A52" w:rsidRPr="005C3B6F">
            <w:pPr>
              <w:spacing w:after="40" w:before="40" w:line="180" w:lineRule="exact"/>
              <w:ind w:left="-108"/>
              <w:jc w:val="center"/>
              <w:rPr>
                <w:rFonts w:ascii="Arial" w:cs="Arial" w:eastAsia="Times New Roman" w:hAnsi="Arial"/>
                <w:sz w:val="18"/>
                <w:szCs w:val="18"/>
              </w:rPr>
            </w:pPr>
            <w:r w:rsidRPr="005C3B6F">
              <w:rPr>
                <w:rFonts w:ascii="Arial" w:cs="Arial" w:eastAsia="Times New Roman" w:hAnsi="Arial"/>
                <w:sz w:val="18"/>
                <w:szCs w:val="18"/>
              </w:rPr>
              <w:t>Population mean (min)</w:t>
            </w:r>
          </w:p>
        </w:tc>
        <w:tc>
          <w:tcPr>
            <w:tcW w:type="dxa" w:w="1458"/>
            <w:tcBorders>
              <w:top w:color="auto" w:space="0" w:sz="4" w:val="single"/>
              <w:bottom w:color="auto" w:space="0" w:sz="4" w:val="single"/>
            </w:tcBorders>
          </w:tcPr>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Doer</w:t>
            </w:r>
          </w:p>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mean (min)*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top w:color="auto" w:space="0" w:sz="4" w:val="single"/>
            </w:tcBorders>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Sleeping</w:t>
            </w:r>
          </w:p>
        </w:tc>
        <w:tc>
          <w:tcPr>
            <w:tcW w:type="dxa" w:w="1391"/>
            <w:tcBorders>
              <w:top w:color="auto" w:space="0" w:sz="4" w:val="single"/>
            </w:tcBorders>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504</w:t>
            </w:r>
          </w:p>
        </w:tc>
        <w:tc>
          <w:tcPr>
            <w:tcW w:type="dxa" w:w="1468"/>
            <w:tcBorders>
              <w:top w:color="auto" w:space="0" w:sz="4" w:val="single"/>
            </w:tcBorders>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506</w:t>
            </w:r>
          </w:p>
        </w:tc>
        <w:tc>
          <w:tcPr>
            <w:tcW w:type="dxa" w:w="1980"/>
            <w:tcBorders>
              <w:top w:color="auto" w:space="0" w:sz="4" w:val="single"/>
            </w:tcBorders>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Child care</w:t>
            </w:r>
          </w:p>
        </w:tc>
        <w:tc>
          <w:tcPr>
            <w:tcW w:type="dxa" w:w="1350"/>
            <w:tcBorders>
              <w:top w:color="auto" w:space="0" w:sz="4" w:val="single"/>
            </w:tcBorders>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18</w:t>
            </w:r>
          </w:p>
        </w:tc>
        <w:tc>
          <w:tcPr>
            <w:tcW w:type="dxa" w:w="1458"/>
            <w:tcBorders>
              <w:top w:color="auto" w:space="0" w:sz="4" w:val="single"/>
            </w:tcBorders>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Working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194</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424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Active sports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16</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Electronic media</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143</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184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Outdoor recreation</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11</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Travel</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109</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118</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Cultural events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10</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143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Eating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89</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93</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Errands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8</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Socializing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56</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115</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Car repair</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6</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48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Personal care</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50</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58</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Hobbies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Reading/writing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48</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104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Bars/lounges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Education</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46</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237</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Animal care</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Cooking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38</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73</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Singing/dancing</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House cleaning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34</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87</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Other</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Shopping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25</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66</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Dry cleaners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bottom w:color="auto" w:space="0" w:sz="4" w:val="single"/>
            </w:tcBorders>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Yard work</w:t>
            </w:r>
          </w:p>
        </w:tc>
        <w:tc>
          <w:tcPr>
            <w:tcW w:type="dxa" w:w="1391"/>
            <w:tcBorders>
              <w:bottom w:color="auto" w:space="0" w:sz="4" w:val="single"/>
            </w:tcBorders>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20</w:t>
            </w:r>
          </w:p>
        </w:tc>
        <w:tc>
          <w:tcPr>
            <w:tcW w:type="dxa" w:w="1468"/>
            <w:tcBorders>
              <w:bottom w:color="auto" w:space="0" w:sz="4" w:val="single"/>
            </w:tcBorders>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111</w:t>
            </w:r>
          </w:p>
        </w:tc>
        <w:tc>
          <w:tcPr>
            <w:tcW w:type="dxa" w:w="1980"/>
            <w:tcBorders>
              <w:bottom w:color="auto" w:space="0" w:sz="4" w:val="single"/>
            </w:tcBorders>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Services</w:t>
            </w:r>
          </w:p>
        </w:tc>
        <w:tc>
          <w:tcPr>
            <w:tcW w:type="dxa" w:w="1350"/>
            <w:tcBorders>
              <w:bottom w:color="auto" w:space="0" w:sz="4" w:val="single"/>
            </w:tcBorders>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w:t>
            </w:r>
          </w:p>
        </w:tc>
        <w:tc>
          <w:tcPr>
            <w:tcW w:type="dxa" w:w="1458"/>
            <w:tcBorders>
              <w:bottom w:color="auto" w:space="0" w:sz="4" w:val="single"/>
            </w:tcBorders>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83</w:t>
            </w:r>
          </w:p>
        </w:tc>
      </w:tr>
    </w:tbl>
    <w:p>
      <w:r>
        <w:t>
</w:t>
        <w:t>
</w:t>
      </w:r>
    </w:p>
    <w:p>
      <w:pPr>
        <w:pStyle w:val=""/>
        <w:jc w:val="both"/>
      </w:pPr>
      <w:r>
        <w:rPr>
          <w:rFonts w:ascii="Arial" w:hAnsi="Arial" w:cs="Arial" w:eastAsia="Arial"/>
          <w:b w:val="false"/>
          <w:i w:val="false"/>
          <w:strike w:val="false"/>
          <w:color w:val=""/>
          <w:sz w:val="18"/>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000000"/>
          <w:sz w:val="22"/>
        </w:rPr>
        <w:t/>
      </w:r>
    </w:p>
    <w:p>
      <w:pPr>
        <w:pStyle w:val=""/>
        <w:jc w:val="both"/>
      </w:pPr>
      <w:r>
        <w:rPr>
          <w:rFonts w:ascii="Times New Roman" w:hAnsi="Times New Roman" w:cs="Times New Roman" w:eastAsia="Times New Roman"/>
          <w:b w:val="true"/>
          <w:i w:val="false"/>
          <w:strike w:val="false"/>
          <w:color w:val="000000"/>
          <w:sz w:val="22"/>
        </w:rPr>
        <w:t/>
      </w:r>
      <w:r>
        <w:rPr>
          <w:rFonts w:ascii="Times New Roman" w:hAnsi="Times New Roman" w:cs="Times New Roman" w:eastAsia="Times New Roman"/>
          <w:b w:val="false"/>
          <w:i w:val="false"/>
          <w:strike w:val="false"/>
          <w:color w:val="000000"/>
          <w:sz w:val="22"/>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top w:color="auto" w:space="0" w:sz="4" w:val="single"/>
              <w:bottom w:color="auto" w:space="0" w:sz="4" w:val="single"/>
            </w:tcBorders>
          </w:tcPr>
          <w:p w:rsidP="00FC75E1" w:rsidR="00FA1A52" w:rsidRDefault="00FA1A52" w:rsidRPr="005C3B6F">
            <w:pPr>
              <w:spacing w:after="40" w:before="40" w:line="180" w:lineRule="exact"/>
              <w:jc w:val="both"/>
              <w:rPr>
                <w:sz w:val="18"/>
                <w:szCs w:val="18"/>
              </w:rPr>
            </w:pPr>
            <w:r w:rsidRPr="005C3B6F">
              <w:rPr>
                <w:rFonts w:ascii="Arial" w:hAnsi="Arial"/>
                <w:sz w:val="18"/>
                <w:szCs w:val="18"/>
              </w:rPr>
              <w:t>Code</w:t>
            </w:r>
          </w:p>
        </w:tc>
        <w:tc>
          <w:tcPr>
            <w:tcW w:type="dxa" w:w="3960"/>
            <w:tcBorders>
              <w:top w:color="auto" w:space="0" w:sz="4" w:val="single"/>
              <w:bottom w:color="auto" w:space="0" w:sz="4" w:val="single"/>
            </w:tcBorders>
          </w:tcPr>
          <w:p w:rsidP="00FC75E1" w:rsidR="00FA1A52" w:rsidRDefault="00FA1A52" w:rsidRPr="005C3B6F">
            <w:pPr>
              <w:spacing w:after="40" w:before="40" w:line="180" w:lineRule="exact"/>
              <w:jc w:val="center"/>
              <w:rPr>
                <w:color w:val="000000"/>
                <w:sz w:val="18"/>
                <w:szCs w:val="18"/>
              </w:rPr>
            </w:pPr>
            <w:r w:rsidRPr="005C3B6F">
              <w:rPr>
                <w:rFonts w:ascii="Arial" w:hAnsi="Arial"/>
                <w:color w:val="000000"/>
                <w:sz w:val="18"/>
                <w:szCs w:val="18"/>
              </w:rPr>
              <w:t>Activity</w:t>
            </w:r>
          </w:p>
        </w:tc>
        <w:tc>
          <w:tcPr>
            <w:tcW w:type="dxa" w:w="720"/>
            <w:tcBorders>
              <w:top w:color="auto" w:space="0" w:sz="4" w:val="single"/>
              <w:bottom w:color="auto" w:space="0" w:sz="4" w:val="single"/>
            </w:tcBorders>
          </w:tcPr>
          <w:p w:rsidP="00FC75E1" w:rsidR="00FA1A52" w:rsidRDefault="00FA1A52" w:rsidRPr="005C3B6F">
            <w:pPr>
              <w:spacing w:after="40" w:before="40" w:line="180" w:lineRule="exact"/>
              <w:jc w:val="both"/>
              <w:rPr>
                <w:rFonts w:ascii="Arial" w:hAnsi="Arial"/>
                <w:color w:val="000000"/>
                <w:sz w:val="18"/>
                <w:szCs w:val="18"/>
              </w:rPr>
            </w:pPr>
            <w:r w:rsidRPr="005C3B6F">
              <w:rPr>
                <w:rFonts w:ascii="Arial" w:hAnsi="Arial"/>
                <w:sz w:val="18"/>
                <w:szCs w:val="18"/>
              </w:rPr>
              <w:t>Code</w:t>
            </w:r>
          </w:p>
        </w:tc>
        <w:tc>
          <w:tcPr>
            <w:tcW w:type="dxa" w:w="4068"/>
            <w:tcBorders>
              <w:top w:color="auto" w:space="0" w:sz="4" w:val="single"/>
              <w:bottom w:color="auto" w:space="0" w:sz="4" w:val="single"/>
            </w:tcBorders>
          </w:tcPr>
          <w:p w:rsidP="00FC75E1" w:rsidR="00FA1A52" w:rsidRDefault="00FA1A52" w:rsidRPr="005C3B6F">
            <w:pPr>
              <w:spacing w:after="40" w:before="40" w:line="180" w:lineRule="exact"/>
              <w:jc w:val="center"/>
              <w:rPr>
                <w:rFonts w:ascii="Arial" w:hAnsi="Arial"/>
                <w:color w:val="000000"/>
                <w:sz w:val="18"/>
                <w:szCs w:val="18"/>
              </w:rPr>
            </w:pPr>
            <w:r w:rsidRPr="005C3B6F">
              <w:rPr>
                <w:rFonts w:ascii="Arial" w:hAnsi="Arial"/>
                <w:color w:val="000000"/>
                <w:sz w:val="18"/>
                <w:szCs w:val="18"/>
              </w:rPr>
              <w:t>Activity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top w:color="auto" w:space="0" w:sz="4" w:val="single"/>
            </w:tcBorders>
          </w:tcPr>
          <w:p w:rsidP="00FC75E1" w:rsidR="00FA1A52" w:rsidRDefault="00FA1A52" w:rsidRPr="005C3B6F">
            <w:pPr>
              <w:spacing w:after="40" w:before="40" w:line="180" w:lineRule="exact"/>
              <w:ind w:right="-108"/>
              <w:jc w:val="both"/>
              <w:rPr>
                <w:sz w:val="18"/>
                <w:szCs w:val="18"/>
              </w:rPr>
            </w:pPr>
            <w:r w:rsidRPr="005C3B6F">
              <w:rPr>
                <w:rFonts w:ascii="Arial" w:hAnsi="Arial"/>
                <w:sz w:val="18"/>
                <w:szCs w:val="18"/>
              </w:rPr>
              <w:t>11</w:t>
            </w:r>
          </w:p>
        </w:tc>
        <w:tc>
          <w:tcPr>
            <w:tcW w:type="dxa" w:w="3960"/>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Agriculture, Forestry, Fishing &amp; Hunting</w:t>
            </w:r>
          </w:p>
        </w:tc>
        <w:tc>
          <w:tcPr>
            <w:tcW w:type="dxa" w:w="720"/>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53</w:t>
            </w:r>
          </w:p>
        </w:tc>
        <w:tc>
          <w:tcPr>
            <w:tcW w:type="dxa" w:w="4068"/>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Real Estate &amp; Rental &amp; Leasing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21</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Mining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54</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Professional, Scientific, and Technical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22</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Utilities</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55</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Management of Companies and Enterprises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23</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Construction</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56</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Administrative and Support and Waste Management and Remediation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31-33</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Manufacturing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61</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Educational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42</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Wholesale Trade</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62</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Health Care and Social Assistance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44-45</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Retail Trade</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71</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Arts, Entertainment, and Recreation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48-49</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Transportation &amp; Warehousing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72</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Accommodation and Food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51</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Information</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81</w:t>
            </w:r>
          </w:p>
        </w:tc>
        <w:tc>
          <w:tcPr>
            <w:tcW w:type="dxa" w:w="4068"/>
          </w:tcPr>
          <w:p w:rsidP="00FC75E1" w:rsidR="00FA1A52" w:rsidRDefault="00FA1A52" w:rsidRPr="005C3B6F">
            <w:pPr>
              <w:spacing w:after="40" w:before="40" w:line="180" w:lineRule="exact"/>
              <w:jc w:val="both"/>
              <w:rPr>
                <w:rFonts w:ascii="Arial" w:hAnsi="Arial"/>
                <w:color w:val="000000"/>
                <w:sz w:val="18"/>
                <w:szCs w:val="18"/>
              </w:rPr>
            </w:pPr>
            <w:r w:rsidRPr="005C3B6F">
              <w:rPr>
                <w:rFonts w:ascii="Arial" w:hAnsi="Arial"/>
                <w:color w:val="000000"/>
                <w:sz w:val="18"/>
                <w:szCs w:val="18"/>
              </w:rPr>
              <w:t xml:space="preserve">Other Services </w:t>
            </w:r>
          </w:p>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(except Public Administration)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bottom w:color="auto" w:space="0" w:sz="4" w:val="single"/>
            </w:tcBorders>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52</w:t>
            </w:r>
          </w:p>
        </w:tc>
        <w:tc>
          <w:tcPr>
            <w:tcW w:type="dxa" w:w="3960"/>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Finance and Insurance</w:t>
            </w:r>
          </w:p>
        </w:tc>
        <w:tc>
          <w:tcPr>
            <w:tcW w:type="dxa" w:w="720"/>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92</w:t>
            </w:r>
          </w:p>
        </w:tc>
        <w:tc>
          <w:tcPr>
            <w:tcW w:type="dxa" w:w="4068"/>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Public Administration</w:t>
            </w:r>
          </w:p>
        </w:tc>
      </w:tr>
    </w:tbl>
    <w:p>
      <w:r>
        <w:t>
</w:t>
        <w:t>
</w:t>
      </w:r>
    </w:p>
    <w:p>
      <w:pPr>
        <w:pStyle w:val=""/>
        <w:jc w:val="both"/>
      </w:pPr>
      <w:r>
        <w:rPr>
          <w:rFonts w:ascii="Times New Roman" w:hAnsi="Times New Roman" w:cs="Times New Roman" w:eastAsia="Times New Roman"/>
          <w:b w:val="false"/>
          <w:i w:val="false"/>
          <w:strike w:val="false"/>
          <w:color w:val="000000"/>
          <w:sz w:val="22"/>
        </w:rPr>
        <w:t/>
      </w:r>
    </w:p>
    <w:p>
      <w:pPr>
        <w:pStyle w:val=""/>
        <w:jc w:val="both"/>
      </w:pP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p>
    <w:p>
      <w:pPr>
        <w:pStyle w:val=""/>
        <w:jc w:val="both"/>
      </w:pP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false"/>
          <w:strike w:val="false"/>
          <w:color w:val="000000"/>
          <w:sz w:val="22"/>
        </w:rPr>
        <w:t/>
      </w:r>
    </w:p>
    <w:p>
      <w:pPr>
        <w:pStyle w:val=""/>
        <w:jc w:val="both"/>
      </w:pP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Heading1"/>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Heading3"/>
        <w:jc w:val="both"/>
      </w:pPr>
      <w:r>
        <w:rPr>
          <w:rFonts w:ascii="Times New Roman" w:hAnsi="Times New Roman" w:cs="Times New Roman" w:eastAsia="Times New Roman"/>
          <w:b w:val="tru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72"/>
          <w:bottom w:type="dxa" w:w="0"/>
          <w:right w:type="dxa" w:w="72"/>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cantSplit/>
          <w:trHeight w:val="257"/>
          <w:jc w:val="center"/>
        </w:trPr>
        <w:tc>
          <w:tcPr>
            <w:tcW w:type="dxa" w:w="1269"/>
            <w:vMerge w:val="restart"/>
            <w:tcBorders>
              <w:bottom w:color="auto" w:space="0" w:sz="4" w:val="single"/>
            </w:tcBorders>
          </w:tcPr>
          <w:p w:rsidP="00FC75E1" w:rsidR="00FA1A52" w:rsidRDefault="00FA1A52" w:rsidRPr="002B5138">
            <w:pPr>
              <w:spacing w:after="40" w:before="40" w:line="200" w:lineRule="exact"/>
              <w:ind w:firstLine="720"/>
              <w:jc w:val="both"/>
              <w:rPr>
                <w:rFonts w:ascii="Arial" w:cs="Arial" w:hAnsi="Arial"/>
                <w:b/>
                <w:sz w:val="18"/>
                <w:szCs w:val="18"/>
              </w:rPr>
            </w:pPr>
          </w:p>
        </w:tc>
        <w:tc>
          <w:tcPr>
            <w:tcW w:type="dxa" w:w="3964"/>
            <w:gridSpan w:val="4"/>
            <w:vAlign w:val="bottom"/>
          </w:tcPr>
          <w:p w:rsidP="00FC75E1" w:rsidR="00FA1A52" w:rsidRDefault="00FA1A52" w:rsidRPr="002B5138">
            <w:pPr>
              <w:pStyle w:val="Heading5"/>
              <w:spacing w:after="40" w:before="40" w:line="200" w:lineRule="exact"/>
              <w:rPr>
                <w:rFonts w:cs="Arial"/>
                <w:b w:val="0"/>
                <w:sz w:val="18"/>
                <w:szCs w:val="18"/>
              </w:rPr>
            </w:pPr>
            <w:r w:rsidRPr="002B5138">
              <w:rPr>
                <w:rFonts w:cs="Arial"/>
                <w:b w:val="0"/>
                <w:sz w:val="18"/>
                <w:szCs w:val="18"/>
              </w:rPr>
              <w:t>Week 1</w:t>
            </w:r>
          </w:p>
        </w:tc>
        <w:tc>
          <w:tcPr>
            <w:tcW w:type="dxa" w:w="3969"/>
            <w:gridSpan w:val="4"/>
            <w:vAlign w:val="bottom"/>
          </w:tcPr>
          <w:p w:rsidP="00FC75E1" w:rsidR="00FA1A52" w:rsidRDefault="00FA1A52" w:rsidRPr="002B5138">
            <w:pPr>
              <w:spacing w:after="40" w:before="40" w:line="200" w:lineRule="exact"/>
              <w:jc w:val="center"/>
              <w:rPr>
                <w:rFonts w:ascii="Arial" w:cs="Arial" w:hAnsi="Arial"/>
                <w:sz w:val="18"/>
                <w:szCs w:val="18"/>
              </w:rPr>
            </w:pPr>
            <w:r w:rsidRPr="002B5138">
              <w:rPr>
                <w:rFonts w:ascii="Arial" w:cs="Arial" w:hAnsi="Arial"/>
                <w:sz w:val="18"/>
                <w:szCs w:val="18"/>
              </w:rPr>
              <w:t>Week 2 and beyond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cantSplit/>
          <w:trHeight w:val="257"/>
          <w:jc w:val="center"/>
        </w:trPr>
        <w:tc>
          <w:tcPr>
            <w:tcW w:type="dxa" w:w="1269"/>
            <w:vMerge/>
            <w:tcBorders>
              <w:bottom w:color="auto" w:space="0" w:sz="4" w:val="single"/>
            </w:tcBorders>
          </w:tcPr>
          <w:p w:rsidP="00FC75E1" w:rsidR="00FA1A52" w:rsidRDefault="00FA1A52" w:rsidRPr="002B5138">
            <w:pPr>
              <w:spacing w:after="40" w:before="40" w:line="200" w:lineRule="exact"/>
              <w:ind w:firstLine="720"/>
              <w:jc w:val="both"/>
              <w:rPr>
                <w:rFonts w:ascii="Arial" w:cs="Arial" w:hAnsi="Arial"/>
                <w:b/>
                <w:sz w:val="18"/>
                <w:szCs w:val="18"/>
              </w:rPr>
            </w:pP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Emer-gency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Housing</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smartTag w:element="City" w:uri="urn:schemas-microsoft-com:office:smarttags">
              <w:smartTag w:element="place" w:uri="urn:schemas-microsoft-com:office:smarttags">
                <w:r w:rsidRPr="002B5138">
                  <w:rPr>
                    <w:rFonts w:ascii="Arial" w:cs="Arial" w:hAnsi="Arial"/>
                    <w:sz w:val="18"/>
                    <w:szCs w:val="18"/>
                  </w:rPr>
                  <w:t>Perm</w:t>
                </w:r>
              </w:smartTag>
            </w:smartTag>
            <w:r w:rsidRPr="002B5138">
              <w:rPr>
                <w:rFonts w:ascii="Arial" w:cs="Arial" w:hAnsi="Arial"/>
                <w:sz w:val="18"/>
                <w:szCs w:val="18"/>
              </w:rPr>
              <w:t>-anent Housing</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Emer-gency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Housing</w:t>
            </w:r>
          </w:p>
        </w:tc>
        <w:tc>
          <w:tcPr>
            <w:tcW w:type="dxa" w:w="996"/>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smartTag w:element="City" w:uri="urn:schemas-microsoft-com:office:smarttags">
              <w:smartTag w:element="place" w:uri="urn:schemas-microsoft-com:office:smarttags">
                <w:r w:rsidRPr="002B5138">
                  <w:rPr>
                    <w:rFonts w:ascii="Arial" w:cs="Arial" w:hAnsi="Arial"/>
                    <w:sz w:val="18"/>
                    <w:szCs w:val="18"/>
                  </w:rPr>
                  <w:t>Perm</w:t>
                </w:r>
              </w:smartTag>
            </w:smartTag>
            <w:r w:rsidRPr="002B5138">
              <w:rPr>
                <w:rFonts w:ascii="Arial" w:cs="Arial" w:hAnsi="Arial"/>
                <w:sz w:val="18"/>
                <w:szCs w:val="18"/>
              </w:rPr>
              <w:t>-anent Housing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tcBorders>
              <w:top w:color="auto" w:space="0" w:sz="4" w:val="single"/>
            </w:tcBorders>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Emergency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Shelter</w:t>
            </w:r>
          </w:p>
        </w:tc>
        <w:tc>
          <w:tcPr>
            <w:tcW w:type="dxa" w:w="991"/>
            <w:tcBorders>
              <w:top w:color="auto" w:space="0" w:sz="4" w:val="single"/>
            </w:tcBorders>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.60</w:t>
            </w:r>
          </w:p>
        </w:tc>
        <w:tc>
          <w:tcPr>
            <w:tcW w:type="dxa" w:w="991"/>
            <w:tcBorders>
              <w:top w:color="auto" w:space="0" w:sz="4" w:val="single"/>
            </w:tcBorders>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.40</w:t>
            </w:r>
          </w:p>
        </w:tc>
        <w:tc>
          <w:tcPr>
            <w:tcW w:type="dxa" w:w="991"/>
            <w:tcBorders>
              <w:top w:color="auto" w:space="0" w:sz="4" w:val="single"/>
            </w:tcBorders>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top w:color="auto" w:space="0" w:sz="4" w:val="single"/>
            </w:tcBorders>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top w:color="auto" w:space="0" w:sz="4" w:val="single"/>
            </w:tcBorders>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.50</w:t>
            </w:r>
          </w:p>
        </w:tc>
        <w:tc>
          <w:tcPr>
            <w:tcW w:type="dxa" w:w="991"/>
            <w:tcBorders>
              <w:top w:color="auto" w:space="0" w:sz="4" w:val="single"/>
            </w:tcBorders>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.50</w:t>
            </w:r>
          </w:p>
        </w:tc>
        <w:tc>
          <w:tcPr>
            <w:tcW w:type="dxa" w:w="991"/>
            <w:tcBorders>
              <w:top w:color="auto" w:space="0" w:sz="4" w:val="single"/>
            </w:tcBorders>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6"/>
            <w:tcBorders>
              <w:top w:color="auto" w:space="0" w:sz="4" w:val="single"/>
            </w:tcBorders>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Temporary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Shelter</w:t>
            </w:r>
          </w:p>
        </w:tc>
        <w:tc>
          <w:tcPr>
            <w:tcW w:type="dxa" w:w="991"/>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.90</w:t>
            </w:r>
          </w:p>
        </w:tc>
        <w:tc>
          <w:tcPr>
            <w:tcW w:type="dxa" w:w="991"/>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w:t>
            </w:r>
          </w:p>
        </w:tc>
        <w:tc>
          <w:tcPr>
            <w:tcW w:type="dxa" w:w="991"/>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.90</w:t>
            </w:r>
          </w:p>
        </w:tc>
        <w:tc>
          <w:tcPr>
            <w:tcW w:type="dxa" w:w="991"/>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w:t>
            </w:r>
          </w:p>
        </w:tc>
        <w:tc>
          <w:tcPr>
            <w:tcW w:type="dxa" w:w="996"/>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Temporary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Housing</w:t>
            </w:r>
          </w:p>
        </w:tc>
        <w:tc>
          <w:tcPr>
            <w:tcW w:type="dxa" w:w="991"/>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.95</w:t>
            </w:r>
          </w:p>
        </w:tc>
        <w:tc>
          <w:tcPr>
            <w:tcW w:type="dxa" w:w="991"/>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c>
          <w:tcPr>
            <w:tcW w:type="dxa" w:w="991"/>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.95</w:t>
            </w:r>
          </w:p>
        </w:tc>
        <w:tc>
          <w:tcPr>
            <w:tcW w:type="dxa" w:w="996"/>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71"/>
          <w:jc w:val="center"/>
        </w:trPr>
        <w:tc>
          <w:tcPr>
            <w:tcW w:type="dxa" w:w="1269"/>
            <w:tcBorders>
              <w:bottom w:color="auto" w:space="0" w:sz="4" w:val="single"/>
            </w:tcBorders>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Permanent</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Housing</w:t>
            </w:r>
          </w:p>
        </w:tc>
        <w:tc>
          <w:tcPr>
            <w:tcW w:type="dxa" w:w="991"/>
            <w:tcBorders>
              <w:bottom w:color="auto" w:space="0" w:sz="4" w:val="single"/>
            </w:tcBorders>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.03</w:t>
            </w:r>
          </w:p>
        </w:tc>
        <w:tc>
          <w:tcPr>
            <w:tcW w:type="dxa" w:w="991"/>
            <w:tcBorders>
              <w:bottom w:color="auto" w:space="0" w:sz="4" w:val="single"/>
            </w:tcBorders>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c>
          <w:tcPr>
            <w:tcW w:type="dxa" w:w="991"/>
            <w:tcBorders>
              <w:bottom w:color="auto" w:space="0" w:sz="4" w:val="single"/>
            </w:tcBorders>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.92</w:t>
            </w:r>
          </w:p>
        </w:tc>
        <w:tc>
          <w:tcPr>
            <w:tcW w:type="dxa" w:w="991"/>
            <w:tcBorders>
              <w:bottom w:color="auto" w:space="0" w:sz="4" w:val="single"/>
            </w:tcBorders>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6"/>
            <w:tcBorders>
              <w:bottom w:color="auto" w:space="0" w:sz="4" w:val="single"/>
            </w:tcBorders>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1.00</w:t>
            </w:r>
          </w:p>
        </w:tc>
      </w:tr>
    </w:tbl>
    <w:p>
      <w:r>
        <w:t>
</w:t>
        <w:t>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Header"/>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Header"/>
        <w:jc w:val="both"/>
      </w:pPr>
      <w:r>
        <w:rPr>
          <w:rFonts w:ascii="Times New Roman" w:hAnsi="Times New Roman" w:cs="Times New Roman" w:eastAsia="Times New Roman"/>
          <w:b w:val="false"/>
          <w:i w:val="true"/>
          <w:strike w:val="false"/>
          <w:color w:val=""/>
          <w:sz w:val="22"/>
        </w:rPr>
        <w:t/>
      </w:r>
    </w:p>
    <w:p>
      <w:pPr>
        <w:pStyle w:val="Header"/>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p>
    <w:p>
      <w:pPr>
        <w:pStyle w:val="BodyTextIndent2"/>
        <w:jc w:val="both"/>
      </w:pPr>
      <w:r>
        <w:rPr>
          <w:rFonts w:ascii="Arial" w:hAnsi="Arial" w:cs="Arial" w:eastAsia="Arial"/>
          <w:b w:val="false"/>
          <w:i w:val="false"/>
          <w:strike w:val="false"/>
          <w:color w:val=""/>
          <w:sz w:val="18"/>
        </w:rPr>
        <w:t/>
      </w:r>
      <w:r>
        <w:rPr>
          <w:rFonts w:ascii="Arial" w:hAnsi="Arial" w:cs="Arial" w:eastAsia="Arial"/>
          <w:b w:val="false"/>
          <w:i w:val="false"/>
          <w:strike w:val="false"/>
          <w:color w:val=""/>
          <w:sz w:val="18"/>
        </w:rPr>
        <w:t/>
      </w:r>
      <w:r>
        <w:rPr>
          <w:rFonts w:ascii="Arial" w:hAnsi="Arial" w:cs="Arial" w:eastAsia="Arial"/>
          <w:b w:val="false"/>
          <w:i w:val="false"/>
          <w:strike w:val="false"/>
          <w:color w:val=""/>
          <w:sz w:val="18"/>
        </w:rPr>
        <w:t/>
      </w:r>
    </w:p>
    <w:p>
      <w:pPr>
        <w:pStyle w:val="BodyTextIndent2"/>
        <w:jc w:val="both"/>
      </w:pPr>
      <w:r>
        <w:rPr>
          <w:rFonts w:ascii="" w:hAnsi="" w:cs="" w:eastAsia=""/>
          <w:b w:val="false"/>
          <w:i w:val="tru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Heading1"/>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false"/>
          <w:i w:val="false"/>
          <w:strike w:val="false"/>
          <w:color w:val=""/>
          <w:sz w:val="22"/>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Problem Perceived To Be Large</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Anglo</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Black</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Hispanic</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Total</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top w:color="auto" w:space="0" w:sz="4" w:val="single"/>
            </w:tcBorders>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mortgage companies about insurance money</w:t>
            </w:r>
          </w:p>
        </w:tc>
        <w:tc>
          <w:tcPr>
            <w:tcW w:type="dxa" w:w="990"/>
            <w:tcBorders>
              <w:top w:color="auto" w:space="0" w:sz="4" w:val="single"/>
            </w:tcBorders>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68</w:t>
            </w:r>
          </w:p>
        </w:tc>
        <w:tc>
          <w:tcPr>
            <w:tcW w:type="dxa" w:w="990"/>
            <w:tcBorders>
              <w:top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49</w:t>
            </w:r>
          </w:p>
        </w:tc>
        <w:tc>
          <w:tcPr>
            <w:tcW w:type="dxa" w:w="990"/>
            <w:tcBorders>
              <w:top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68</w:t>
            </w:r>
          </w:p>
        </w:tc>
        <w:tc>
          <w:tcPr>
            <w:tcW w:type="dxa" w:w="990"/>
            <w:tcBorders>
              <w:top w:color="auto" w:space="0" w:sz="4" w:val="single"/>
            </w:tcBorders>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building inspectors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52</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76</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Living in damaged home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59</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Neighborhood conditions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55</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39</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Living in temporary quarters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45</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insurance companies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26</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48</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contractors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45</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Unemployment</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Household finances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Neighborhood crime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16</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Transportation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2</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Job relocation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7</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agencies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13</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Behavioral problems with children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Family violence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5</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Gain of member(s)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Loss of member(s)</w:t>
            </w:r>
          </w:p>
        </w:tc>
        <w:tc>
          <w:tcPr>
            <w:tcW w:type="dxa" w:w="990"/>
            <w:tcBorders>
              <w:bottom w:color="auto" w:space="0" w:sz="4" w:val="single"/>
            </w:tcBorders>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4</w:t>
            </w:r>
          </w:p>
        </w:tc>
        <w:tc>
          <w:tcPr>
            <w:tcW w:type="dxa" w:w="990"/>
            <w:tcBorders>
              <w:bottom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0</w:t>
            </w:r>
          </w:p>
        </w:tc>
        <w:tc>
          <w:tcPr>
            <w:tcW w:type="dxa" w:w="990"/>
            <w:tcBorders>
              <w:bottom w:color="auto" w:space="0" w:sz="4" w:val="single"/>
            </w:tcBorders>
          </w:tcPr>
          <w:p w:rsidP="00FC75E1" w:rsidR="00FA1A52" w:rsidRDefault="00FA1A52" w:rsidRPr="002B5138">
            <w:pPr>
              <w:tabs>
                <w:tab w:pos="447" w:val="decimal"/>
              </w:tabs>
              <w:spacing w:after="40" w:before="40" w:line="200" w:lineRule="exact"/>
              <w:jc w:val="both"/>
              <w:rPr>
                <w:rFonts w:ascii="Arial" w:cs="Arial" w:hAnsi="Arial"/>
                <w:sz w:val="18"/>
                <w:szCs w:val="18"/>
              </w:rPr>
            </w:pPr>
            <w:r w:rsidRPr="002B5138">
              <w:rPr>
                <w:rFonts w:ascii="Arial" w:cs="Arial" w:hAnsi="Arial"/>
                <w:sz w:val="18"/>
                <w:szCs w:val="18"/>
              </w:rPr>
              <w:t>13</w:t>
            </w:r>
          </w:p>
        </w:tc>
        <w:tc>
          <w:tcPr>
            <w:tcW w:type="dxa" w:w="990"/>
            <w:tcBorders>
              <w:bottom w:color="auto" w:space="0" w:sz="4" w:val="single"/>
            </w:tcBorders>
          </w:tcPr>
          <w:p w:rsidP="00FC75E1" w:rsidR="00FA1A52" w:rsidRDefault="00FA1A52" w:rsidRPr="002B5138">
            <w:pPr>
              <w:tabs>
                <w:tab w:pos="447" w:val="decimal"/>
              </w:tabs>
              <w:spacing w:after="40" w:before="40" w:line="200" w:lineRule="exact"/>
              <w:jc w:val="both"/>
              <w:rPr>
                <w:rFonts w:ascii="Arial" w:cs="Arial" w:hAnsi="Arial"/>
                <w:sz w:val="18"/>
                <w:szCs w:val="18"/>
              </w:rPr>
            </w:pPr>
            <w:r w:rsidRPr="002B5138">
              <w:rPr>
                <w:rFonts w:ascii="Arial" w:cs="Arial" w:hAnsi="Arial"/>
                <w:sz w:val="18"/>
                <w:szCs w:val="18"/>
              </w:rPr>
              <w:t>4</w:t>
            </w:r>
          </w:p>
        </w:tc>
      </w:tr>
    </w:tbl>
    <w:p>
      <w:r>
        <w:t>
</w:t>
        <w:t>
</w:t>
      </w:r>
    </w:p>
    <w:p>
      <w:pPr>
        <w:pStyle w:val=""/>
        <w:jc w:val="both"/>
      </w:pPr>
      <w:r>
        <w:rPr>
          <w:rFonts w:ascii="Arial" w:hAnsi="Arial" w:cs="Arial" w:eastAsia="Arial"/>
          <w:b w:val="false"/>
          <w:i w:val="false"/>
          <w:strike w:val="false"/>
          <w:color w:val=""/>
          <w:sz w:val="18"/>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false"/>
          <w:strike w:val="false"/>
          <w:color w:val=""/>
        </w:rPr>
        <w:t/>
      </w:r>
    </w:p>
    <w:p>
      <w:pPr>
        <w:pStyle w:val=""/>
        <w:jc w:val="both"/>
      </w:pPr>
      <w:r>
        <w:rPr>
          <w:rFonts w:ascii="Arial" w:hAnsi="Arial" w:cs="Arial" w:eastAsia="Arial"/>
          <w:b w:val="false"/>
          <w:i w:val="false"/>
          <w:strike w:val="false"/>
          <w:color w:val=""/>
          <w:sz w:val="18"/>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Heading1"/>
        <w:jc w:val="both"/>
      </w:pP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p>
    <w:tbl>
      <w:tblPr>
        <w:tblStyle w:val=""/>
        <w:tblStyleRowBandSize w:val="0"/>
        <w:tblStyleColBandSize w:val="0"/>
        <w:tblW w:w="939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Businesses Change (%)</w:t>
            </w: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Employees Change (%)</w:t>
            </w: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Sales Volume Change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8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Industry</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17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Agriculture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-71</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112"/>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Construction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Manufacturing</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-67</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470"/>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Transportation/</w:t>
            </w:r>
          </w:p>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communication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-100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Wholesale trade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Retail trade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470"/>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Finance/</w:t>
            </w:r>
          </w:p>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insurance/real estate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Business services</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Professional services</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Public administration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+38</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n/a*</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n/a*</w:t>
            </w:r>
          </w:p>
        </w:tc>
      </w:tr>
    </w:tbl>
    <w:p>
      <w:r>
        <w:t>
</w:t>
        <w:t>
</w:t>
      </w:r>
    </w:p>
    <w:p>
      <w:pPr>
        <w:pStyle w:val=""/>
        <w:jc w:val="both"/>
      </w:pPr>
      <w:r>
        <w:rPr>
          <w:rFonts w:ascii="Arial" w:hAnsi="Arial" w:cs="Arial" w:eastAsia="Arial"/>
          <w:b w:val="false"/>
          <w:i w:val="false"/>
          <w:strike w:val="false"/>
          <w:color w:val=""/>
          <w:sz w:val="18"/>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tru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xml:space="preserve">ected to perform </w:t>
      </w:r>
      <w:r>
        <w:rPr>
          <w:rFonts w:ascii="" w:hAnsi="" w:cs="" w:eastAsia=""/>
          <w:b w:val="false"/>
          <w:i w:val="false"/>
          <w:strike w:val="false"/>
          <w:color w:val=""/>
          <w:sz w:val="22"/>
        </w:rPr>
        <w:t xml:space="preserve">during disaster recovery (Dynes, 1970). By contrast, existing CBOs typically </w:t>
      </w:r>
      <w:r>
        <w:rPr>
          <w:rFonts w:ascii="" w:hAnsi="" w:cs="" w:eastAsia=""/>
          <w:b w:val="false"/>
          <w:i w:val="true"/>
          <w:strike w:val="false"/>
          <w:color w:val=""/>
          <w:sz w:val="22"/>
        </w:rPr>
        <w:t>extend</w:t>
      </w:r>
      <w:r>
        <w:rPr>
          <w:rFonts w:ascii="" w:hAnsi="" w:cs="" w:eastAsia=""/>
          <w:b w:val="false"/>
          <w:i w:val="false"/>
          <w:strike w:val="false"/>
          <w:color w:val=""/>
          <w:sz w:val="22"/>
        </w:rPr>
        <w:t xml:space="preserve"> themselves beyond their normal tasks to perform novel activities. In addition, there are situations in which existing, expanding, and extending organizations cannot successfully meet the recovery needs of disaster victims. In such cases, government agencies, NGOs, and CBOs form an </w:t>
      </w:r>
      <w:r>
        <w:rPr>
          <w:rFonts w:ascii="" w:hAnsi="" w:cs="" w:eastAsia=""/>
          <w:b w:val="false"/>
          <w:i w:val="true"/>
          <w:strike w:val="false"/>
          <w:color w:val=""/>
          <w:sz w:val="22"/>
        </w:rPr>
        <w:t xml:space="preserve">Unmet Needs Committee, </w:t>
      </w:r>
      <w:r>
        <w:rPr>
          <w:rFonts w:ascii="" w:hAnsi="" w:cs="" w:eastAsia=""/>
          <w:b w:val="false"/>
          <w:i w:val="false"/>
          <w:strike w:val="false"/>
          <w:color w:val=""/>
          <w:sz w:val="22"/>
        </w:rPr>
        <w:t xml:space="preserve">which is an </w:t>
      </w:r>
      <w:r>
        <w:rPr>
          <w:rFonts w:ascii="" w:hAnsi="" w:cs="" w:eastAsia=""/>
          <w:b w:val="false"/>
          <w:i w:val="true"/>
          <w:strike w:val="false"/>
          <w:color w:val=""/>
          <w:sz w:val="22"/>
        </w:rPr>
        <w:t>emergent</w:t>
      </w:r>
      <w:r>
        <w:rPr>
          <w:rFonts w:ascii="" w:hAnsi="" w:cs="" w:eastAsia=""/>
          <w:b w:val="false"/>
          <w:i w:val="false"/>
          <w:strike w:val="false"/>
          <w:color w:val=""/>
          <w:sz w:val="22"/>
        </w:rPr>
        <w:t xml:space="preserve"> organization that is designed to serve those whose needs are not being addressed by existing programs. </w:t>
      </w:r>
    </w:p>
    <w:p>
      <w:pPr>
        <w:pStyle w:val="BodyTextIndent2"/>
        <w:jc w:val="both"/>
      </w:pPr>
      <w:r>
        <w:rPr>
          <w:rFonts w:ascii="" w:hAnsi="" w:cs="" w:eastAsia=""/>
          <w:b w:val="false"/>
          <w:i w:val="false"/>
          <w:strike w:val="false"/>
          <w:color w:val=""/>
          <w:sz w:val="22"/>
        </w:rPr>
        <w:t xml:space="preserve">In some cases, the need for such emergent organizations arises from political organization and activism by population segments that believe they are being neglected (Morrow &amp; Peacock, 1997; Phillips, 1993a). Local authorities should anticipate recovery demands, plan for an </w:t>
      </w:r>
      <w:r>
        <w:rPr>
          <w:rFonts w:ascii="" w:hAnsi="" w:cs="" w:eastAsia=""/>
          <w:b w:val="false"/>
          <w:i w:val="true"/>
          <w:strike w:val="false"/>
          <w:color w:val=""/>
          <w:sz w:val="22"/>
        </w:rPr>
        <w:t>Unmet Needs Committee,</w:t>
      </w:r>
      <w:r>
        <w:rPr>
          <w:rFonts w:ascii="" w:hAnsi="" w:cs="" w:eastAsia=""/>
          <w:b w:val="false"/>
          <w:i w:val="false"/>
          <w:strike w:val="false"/>
          <w:color w:val=""/>
          <w:sz w:val="22"/>
        </w:rPr>
        <w:t xml:space="preserve"> and communicate its existence throughout the community. When emergent organizations do arise, they can be incorporated into the ongoing recovery management process in order to learn from their knowledge about the unmet needs and ensure that there is an equitable distribution of disaster recovery resources. For a more detailed discussion of NGO activities in disaster recovery, see Smith (2004).</w:t>
      </w:r>
    </w:p>
    <w:p>
      <w:pPr>
        <w:pStyle w:val="Heading1"/>
        <w:jc w:val="both"/>
      </w:pPr>
      <w:r>
        <w:rPr>
          <w:rFonts w:ascii="Times New Roman" w:hAnsi="Times New Roman" w:cs="Times New Roman" w:eastAsia="Times New Roman"/>
          <w:b w:val="false"/>
          <w:i w:val="false"/>
          <w:strike w:val="false"/>
          <w:color w:val=""/>
          <w:sz w:val="22"/>
        </w:rPr>
        <w:t>Local Government Recovery Functions</w:t>
      </w:r>
    </w:p>
    <w:p>
      <w:pPr>
        <w:pStyle w:val=""/>
        <w:jc w:val="both"/>
      </w:pPr>
      <w:r>
        <w:rPr>
          <w:rFonts w:ascii="Times New Roman" w:hAnsi="Times New Roman" w:cs="Times New Roman" w:eastAsia="Times New Roman"/>
          <w:b w:val="false"/>
          <w:i w:val="false"/>
          <w:strike w:val="false"/>
          <w:color w:val=""/>
          <w:sz w:val="22"/>
        </w:rPr>
        <w:t xml:space="preserve">After a disaster, local government needs to perform many tasks very quickly, and many of these must be performed simultaneously. It is therefore critical to plan for disaster recovery, as well as for disaster response (Schwab, et al., 1998). The line between emergency response and disaster recovery is not clear because some sectors of the community might be in response mode while others are moving into recovery, and some organizations will be carrying on both types of activity at the same time. This means that there will be little time to plan for disaster recovery once the emergency response has begun. By planning for recovery before disaster strikes, resources can be allocated more effectively and efficiently, increasing the probability of a rapid and full recovery. The following discussion is </w:t>
      </w:r>
      <w:r>
        <w:rPr>
          <w:rFonts w:ascii="Times New Roman" w:hAnsi="Times New Roman" w:cs="Times New Roman" w:eastAsia="Times New Roman"/>
          <w:b w:val="false"/>
          <w:i w:val="false"/>
          <w:strike w:val="false"/>
          <w:color w:val=""/>
          <w:sz w:val="22"/>
        </w:rPr>
        <w:t>based on</w:t>
      </w:r>
      <w:r>
        <w:rPr>
          <w:rFonts w:ascii="Times New Roman" w:hAnsi="Times New Roman" w:cs="Times New Roman" w:eastAsia="Times New Roman"/>
          <w:b w:val="false"/>
          <w:i w:val="false"/>
          <w:strike w:val="false"/>
          <w:color w:val=""/>
          <w:sz w:val="22"/>
        </w:rPr>
        <w:t xml:space="preserve"> the concept of preimpact planning for disaster recovery because a lack of planning will delay decisions about the allocation of recovery resources and the procedures by which they will be used. A lack of preimpact planning can also increase the probability of conflicts arising due to competition over scarce resources during the recovery period. </w:t>
      </w:r>
    </w:p>
    <w:p>
      <w:pPr>
        <w:pStyle w:val=""/>
        <w:jc w:val="both"/>
      </w:pPr>
      <w:r>
        <w:rPr>
          <w:rFonts w:ascii="Times New Roman" w:hAnsi="Times New Roman" w:cs="Times New Roman" w:eastAsia="Times New Roman"/>
          <w:b w:val="false"/>
          <w:i w:val="false"/>
          <w:strike w:val="false"/>
          <w:color w:val=""/>
          <w:sz w:val="22"/>
        </w:rPr>
        <w:t xml:space="preserve">The previous sections of this chapter have described the tasks that households and businesses perform during disaster recovery and the resources they use to implement this recovery. When households and businesses lack the knowledge of how to recover or the resources needed to recover, government can provide assistance. Local government must also perform specific tasks during disaster recovery, some of which involve restoring services it performed before the disaster (e.g., providing functioning roads, street lights and signs, and traffic control devices). In addition, local government must rebuild any critical facilities (e.g., police and fire stations) that were damaged or destroyed. Finally, local government has a heightened need to perform its regulatory functions regarding land use and building construction. These two functions require rapid action under conditions of a greatly multiplied workload, so special provisions are required to expedite the procedures for reviewing and approving the (re)development of private property. </w:t>
      </w:r>
    </w:p>
    <w:p>
      <w:pPr>
        <w:pStyle w:val=""/>
        <w:jc w:val="both"/>
      </w:pPr>
      <w:r>
        <w:rPr>
          <w:rFonts w:ascii="Times New Roman" w:hAnsi="Times New Roman" w:cs="Times New Roman" w:eastAsia="Times New Roman"/>
          <w:b w:val="false"/>
          <w:i w:val="false"/>
          <w:strike w:val="false"/>
          <w:color w:val=""/>
          <w:sz w:val="22"/>
        </w:rPr>
        <w:t xml:space="preserve">In approaching the task of preimpact recovery planning, a community must overcome three major misconceptions about disaster recovery. The first misconception is that the entire recovery effort can be improvised after the emergency response is complete. In fact, a timely and effective disaster recovery requires a significant amount of data collection and planning that will delay the recovery if they are postponed until after the emergency response is over. It is important to recognize that the disaster response phase’s uncertainty and urgency about human safety has been replaced by households’ and businesses’ </w:t>
      </w:r>
      <w:r>
        <w:rPr>
          <w:rFonts w:ascii="Times New Roman" w:hAnsi="Times New Roman" w:cs="Times New Roman" w:eastAsia="Times New Roman"/>
          <w:b w:val="false"/>
          <w:i w:val="false"/>
          <w:strike w:val="false"/>
          <w:color w:val=""/>
          <w:sz w:val="22"/>
        </w:rPr>
        <w:t xml:space="preserve">urgency to return to normal patterns of functioning and government agencies’ uncertainty about how to organize the community to accomplish this. </w:t>
      </w:r>
    </w:p>
    <w:p>
      <w:pPr>
        <w:pStyle w:val=""/>
        <w:jc w:val="both"/>
      </w:pPr>
      <w:r>
        <w:rPr>
          <w:rFonts w:ascii="Times New Roman" w:hAnsi="Times New Roman" w:cs="Times New Roman" w:eastAsia="Times New Roman"/>
          <w:b w:val="false"/>
          <w:i w:val="false"/>
          <w:strike w:val="false"/>
          <w:color w:val=""/>
          <w:sz w:val="22"/>
        </w:rPr>
        <w:t>The second misconception is that there will be ample time to collect data and plan the recovery during the emergency response. It is true that some recovery relevant data must be collected during the emergency response. However, an assessment of “lessons learned” from the disaster impact should be used to guide a recovery process that has been designed before the disaster strikes. Finally, the third misconception is that the objective of disaster recovery should be to restore the community to the conditions that existed before the disaster. As noted earlier, this will simply reproduce the community’s existing disaster vulnerability.</w:t>
      </w:r>
    </w:p>
    <w:p>
      <w:pPr>
        <w:pStyle w:val=""/>
        <w:jc w:val="both"/>
      </w:pPr>
      <w:r>
        <w:rPr>
          <w:rFonts w:ascii="Times New Roman" w:hAnsi="Times New Roman" w:cs="Times New Roman" w:eastAsia="Times New Roman"/>
          <w:b w:val="false"/>
          <w:i w:val="false"/>
          <w:strike w:val="false"/>
          <w:color w:val=""/>
          <w:sz w:val="22"/>
        </w:rPr>
        <w:t xml:space="preserve">In many ways, the process of preparedness for disaster recovery is quite similar to the process of preparedness for emergency response. Thus, the community should establish a Recovery/Mitigation Committee before disaster strikes that will establish a vision of community disaster recovery and articulate the basic strategies that will be implemented before and after disaster impact. In addition, the committee should assign each recovery function to a specific organization, develop a Recovery Operations Plan (ROP), and acquire any necessary resources to implement it. Finally, the committee should conduct the training and tabletop exercises needed to ensure the ROP can be implemented effectively. </w:t>
      </w:r>
    </w:p>
    <w:p>
      <w:pPr>
        <w:pStyle w:val=""/>
        <w:jc w:val="both"/>
      </w:pPr>
      <w:r>
        <w:rPr>
          <w:rFonts w:ascii="Times New Roman" w:hAnsi="Times New Roman" w:cs="Times New Roman" w:eastAsia="Times New Roman"/>
          <w:b w:val="false"/>
          <w:i w:val="true"/>
          <w:strike w:val="false"/>
          <w:color w:val=""/>
          <w:sz w:val="22"/>
        </w:rPr>
        <w:t xml:space="preserve">The Recovery/Mitigation Committee </w:t>
      </w:r>
    </w:p>
    <w:p>
      <w:pPr>
        <w:pStyle w:val="BodyTextIndent2"/>
        <w:jc w:val="both"/>
      </w:pPr>
      <w:r>
        <w:rPr>
          <w:rFonts w:ascii="" w:hAnsi="" w:cs="" w:eastAsia=""/>
          <w:b w:val="false"/>
          <w:i w:val="false"/>
          <w:strike w:val="false"/>
          <w:color w:val=""/>
          <w:sz w:val="22"/>
        </w:rPr>
        <w:t>The LEMC’s Recovery/Mitigation Committee can be an important part of an effective, rapid disaster recovery process. As noted in Chapter 3, this committee should be established before a disaster during the preimpact recovery planning process. Personnel should be designated to serve on this committee, including a chairperson and a lead agency, usually the local planning department. The jurisdiction’s Chief Administrative Officer, usually the city mayor or the county executive, should publish a planning directive, and the Recovery/Mitigation Committee chairperson should establish a planning schedule. Many government agencies should participate in the Recovery/Mitigation Committee, including the directors of the local planning, building, public works, engineering, parks and recreation, economic development, finance, housing, and social services departments, as well as the jurisdiction’s PIO (Schwab, et al., 1998). In addition, there should be representatives from local utility companies, other local business organizations, religious and charitable organizations, and representatives of neighborhood associations.</w:t>
      </w:r>
    </w:p>
    <w:p>
      <w:pPr>
        <w:pStyle w:val="BodyTextIndent2"/>
        <w:jc w:val="both"/>
      </w:pPr>
      <w:r>
        <w:rPr>
          <w:rFonts w:ascii="" w:hAnsi="" w:cs="" w:eastAsia=""/>
          <w:b w:val="false"/>
          <w:i w:val="false"/>
          <w:strike w:val="false"/>
          <w:color w:val=""/>
          <w:sz w:val="22"/>
        </w:rPr>
        <w:t xml:space="preserve">The Recovery/Mitigation Committee should examine the findings from the </w:t>
      </w:r>
      <w:r>
        <w:rPr>
          <w:rFonts w:ascii="" w:hAnsi="" w:cs="" w:eastAsia=""/>
          <w:b w:val="false"/>
          <w:i w:val="false"/>
          <w:strike w:val="false"/>
          <w:color w:val=""/>
          <w:sz w:val="22"/>
        </w:rPr>
        <w:t>community HVA</w:t>
      </w:r>
      <w:r>
        <w:rPr>
          <w:rFonts w:ascii="" w:hAnsi="" w:cs="" w:eastAsia=""/>
          <w:b w:val="false"/>
          <w:i w:val="false"/>
          <w:strike w:val="false"/>
          <w:color w:val=""/>
          <w:sz w:val="22"/>
        </w:rPr>
        <w:t xml:space="preserve"> to identify the locations hav</w:t>
      </w:r>
      <w:r>
        <w:rPr>
          <w:rFonts w:ascii="" w:hAnsi="" w:cs="" w:eastAsia=""/>
          <w:b w:val="false"/>
          <w:i w:val="false"/>
          <w:strike w:val="false"/>
          <w:color w:val=""/>
          <w:sz w:val="22"/>
        </w:rPr>
        <w:t>ing</w:t>
      </w:r>
      <w:r>
        <w:rPr>
          <w:rFonts w:ascii="" w:hAnsi="" w:cs="" w:eastAsia=""/>
          <w:b w:val="false"/>
          <w:i w:val="false"/>
          <w:strike w:val="false"/>
          <w:color w:val=""/>
          <w:sz w:val="22"/>
        </w:rPr>
        <w:t xml:space="preserve"> the highest </w:t>
      </w:r>
      <w:r>
        <w:rPr>
          <w:rFonts w:ascii="" w:hAnsi="" w:cs="" w:eastAsia=""/>
          <w:b w:val="false"/>
          <w:i w:val="false"/>
          <w:strike w:val="false"/>
          <w:color w:val=""/>
          <w:sz w:val="22"/>
        </w:rPr>
        <w:t xml:space="preserve">levels of </w:t>
      </w:r>
      <w:r>
        <w:rPr>
          <w:rFonts w:ascii="" w:hAnsi="" w:cs="" w:eastAsia=""/>
          <w:b w:val="false"/>
          <w:i w:val="false"/>
          <w:strike w:val="false"/>
          <w:color w:val=""/>
          <w:sz w:val="22"/>
        </w:rPr>
        <w:t xml:space="preserve">hazard exposure, physical vulnerability, and social vulnerability. The committee should begin to work with the rest of the community, and especially with those at greatest risk, to formulate a vision of the disaster recovery it intends to implement. </w:t>
      </w:r>
    </w:p>
    <w:p>
      <w:pPr>
        <w:pStyle w:val=""/>
        <w:jc w:val="both"/>
      </w:pPr>
      <w:r>
        <w:rPr>
          <w:rFonts w:ascii="Times New Roman" w:hAnsi="Times New Roman" w:cs="Times New Roman" w:eastAsia="Times New Roman"/>
          <w:b w:val="false"/>
          <w:i w:val="false"/>
          <w:strike w:val="false"/>
          <w:color w:val=""/>
          <w:sz w:val="22"/>
        </w:rPr>
        <w:t xml:space="preserve">Next, the committee should develop an ROP that integrates the likely disaster impacts, community goals, and public and private sector capabilities within the community. In addition, the ROP should identify external sources of assistance (federal, state, NGO), recognize their loan/grant requirements, and integrate these into a comprehensive program of disaster assistance. The committee should </w:t>
      </w:r>
      <w:r>
        <w:rPr>
          <w:rFonts w:ascii="Times New Roman" w:hAnsi="Times New Roman" w:cs="Times New Roman" w:eastAsia="Times New Roman"/>
          <w:b w:val="false"/>
          <w:i w:val="false"/>
          <w:strike w:val="false"/>
          <w:color w:val=""/>
          <w:sz w:val="22"/>
        </w:rPr>
        <w:t xml:space="preserve">also </w:t>
      </w:r>
      <w:r>
        <w:rPr>
          <w:rFonts w:ascii="Times New Roman" w:hAnsi="Times New Roman" w:cs="Times New Roman" w:eastAsia="Times New Roman"/>
          <w:b w:val="false"/>
          <w:i w:val="false"/>
          <w:strike w:val="false"/>
          <w:color w:val=""/>
          <w:sz w:val="22"/>
        </w:rPr>
        <w:t>develop a financial plan for responding to the disaster. Bolin (1993) reported that city revenues from a heavily damaged central business district were 5% of total revenues before the earthquake, declined sharply in the year after the earthquake, and took about four years to return to previous level. This clearly affects the jurisdiction’s tax revenues.</w:t>
      </w:r>
    </w:p>
    <w:p>
      <w:pPr>
        <w:pStyle w:val="BodyTextIndent2"/>
        <w:jc w:val="both"/>
      </w:pPr>
      <w:r>
        <w:rPr>
          <w:rFonts w:ascii="" w:hAnsi="" w:cs="" w:eastAsia=""/>
          <w:b w:val="false"/>
          <w:i w:val="false"/>
          <w:strike w:val="false"/>
          <w:color w:val=""/>
          <w:sz w:val="22"/>
        </w:rPr>
        <w:t xml:space="preserve">Moreover, the committee should establish agreements with NGOs and CBOs (especially local churches, neighborhood associations, and other citizens’ groups) for support in disaster recovery because these organizations provide financial and in-kind support, as well as legal and technical assistance. After a </w:t>
      </w:r>
      <w:r>
        <w:rPr>
          <w:rFonts w:ascii="" w:hAnsi="" w:cs="" w:eastAsia=""/>
          <w:b w:val="false"/>
          <w:i w:val="false"/>
          <w:strike w:val="false"/>
          <w:color w:val=""/>
          <w:sz w:val="22"/>
        </w:rPr>
        <w:t xml:space="preserve">disaster strikes, the Recovery/Mitigation Committee should ensure that organizations respond within the scope of their responsibilities to implement the ROP. </w:t>
      </w:r>
    </w:p>
    <w:p>
      <w:pPr>
        <w:pStyle w:val=""/>
        <w:jc w:val="both"/>
      </w:pPr>
      <w:r>
        <w:rPr>
          <w:rFonts w:ascii="Times New Roman" w:hAnsi="Times New Roman" w:cs="Times New Roman" w:eastAsia="Times New Roman"/>
          <w:b w:val="false"/>
          <w:i w:val="true"/>
          <w:strike w:val="false"/>
          <w:color w:val=""/>
          <w:sz w:val="22"/>
        </w:rPr>
        <w:t>Envisioning a Community Recovery Strategy</w:t>
      </w:r>
    </w:p>
    <w:p>
      <w:pPr>
        <w:pStyle w:val=""/>
        <w:jc w:val="both"/>
      </w:pPr>
      <w:r>
        <w:rPr>
          <w:rFonts w:ascii="Times New Roman" w:hAnsi="Times New Roman" w:cs="Times New Roman" w:eastAsia="Times New Roman"/>
          <w:b w:val="false"/>
          <w:i w:val="false"/>
          <w:strike w:val="false"/>
          <w:color w:val=""/>
          <w:sz w:val="22"/>
        </w:rPr>
        <w:t xml:space="preserve">The Recovery/Mitigation Committee needs to work with the community before and after a disaster to articulate a vision of community disaster recovery. The recovery process needs to strike a balance between corporate centered and community based economic development (Bingham, 2000). According to a </w:t>
      </w:r>
      <w:r>
        <w:rPr>
          <w:rFonts w:ascii="Times New Roman" w:hAnsi="Times New Roman" w:cs="Times New Roman" w:eastAsia="Times New Roman"/>
          <w:b w:val="false"/>
          <w:i w:val="true"/>
          <w:strike w:val="false"/>
          <w:color w:val=""/>
          <w:sz w:val="22"/>
        </w:rPr>
        <w:t>corporate centered economic development</w:t>
      </w:r>
      <w:r>
        <w:rPr>
          <w:rFonts w:ascii="Times New Roman" w:hAnsi="Times New Roman" w:cs="Times New Roman" w:eastAsia="Times New Roman"/>
          <w:b w:val="false"/>
          <w:i w:val="false"/>
          <w:strike w:val="false"/>
          <w:color w:val=""/>
          <w:sz w:val="22"/>
        </w:rPr>
        <w:t xml:space="preserve">, usually advocated by the local business community, government provides resources such as land and money to the private sector to invest without any restrictions. This market based strategy tends to produce results that are good in aggregate but produces an inequitable recovery. By contrast, </w:t>
      </w:r>
      <w:r>
        <w:rPr>
          <w:rFonts w:ascii="Times New Roman" w:hAnsi="Times New Roman" w:cs="Times New Roman" w:eastAsia="Times New Roman"/>
          <w:b w:val="false"/>
          <w:i w:val="true"/>
          <w:strike w:val="false"/>
          <w:color w:val=""/>
          <w:sz w:val="22"/>
        </w:rPr>
        <w:t>community based economic development</w:t>
      </w:r>
      <w:r>
        <w:rPr>
          <w:rFonts w:ascii="Times New Roman" w:hAnsi="Times New Roman" w:cs="Times New Roman" w:eastAsia="Times New Roman"/>
          <w:b w:val="false"/>
          <w:i w:val="false"/>
          <w:strike w:val="false"/>
          <w:color w:val=""/>
          <w:sz w:val="22"/>
        </w:rPr>
        <w:t xml:space="preserve"> involves active participation by government to ensure that the benefits of recovery will also be shared by economically disadvantaged segments of the community. </w:t>
      </w:r>
    </w:p>
    <w:p>
      <w:pPr>
        <w:pStyle w:val=""/>
        <w:jc w:val="both"/>
      </w:pPr>
      <w:r>
        <w:rPr>
          <w:rFonts w:ascii="Times New Roman" w:hAnsi="Times New Roman" w:cs="Times New Roman" w:eastAsia="Times New Roman"/>
          <w:b w:val="false"/>
          <w:i w:val="false"/>
          <w:strike w:val="false"/>
          <w:color w:val=""/>
          <w:sz w:val="22"/>
        </w:rPr>
        <w:t xml:space="preserve">The short term recovery following a major disaster can generate an economic boom as state and federal money flows into the community to reconstruct damaged buildings and infrastructure. These funds are used to pay for construction materials and the construction workforce and, to the extent that the materials and labor are acquired locally, they generate local revenues. In addition, the building suppliers hire additional workers and these, along with the construction workers, spend their wages on places to live, food to eat, and entertainment. Unless there are undamaged communities within commuting distance that can compete for this money, it will all be spent within the community. </w:t>
      </w:r>
    </w:p>
    <w:p>
      <w:pPr>
        <w:pStyle w:val=""/>
        <w:jc w:val="both"/>
      </w:pPr>
      <w:r>
        <w:rPr>
          <w:rFonts w:ascii="Times New Roman" w:hAnsi="Times New Roman" w:cs="Times New Roman" w:eastAsia="Times New Roman"/>
          <w:b w:val="false"/>
          <w:i w:val="false"/>
          <w:strike w:val="false"/>
          <w:color w:val=""/>
          <w:sz w:val="22"/>
        </w:rPr>
        <w:t xml:space="preserve">Communities must also consider the long term economic consequences of disaster recovery. What will happen after the reconstruction boom is over? They can attract new businesses if they have a skilled labor pool and good schools—especially colleges whose faculty and students can support knowledge based industries. Other assets include low crime rates, low cost of living, good housing, and environmental amenities such as mountains, rivers, or lakes (Blakely, 2000). </w:t>
      </w:r>
      <w:r>
        <w:rPr>
          <w:rFonts w:ascii="Times New Roman" w:hAnsi="Times New Roman" w:cs="Times New Roman" w:eastAsia="Times New Roman"/>
          <w:b w:val="false"/>
          <w:i w:val="false"/>
          <w:strike w:val="false"/>
          <w:color w:val=""/>
          <w:sz w:val="22"/>
        </w:rPr>
        <w:t>A c</w:t>
      </w:r>
      <w:r>
        <w:rPr>
          <w:rFonts w:ascii="Times New Roman" w:hAnsi="Times New Roman" w:cs="Times New Roman" w:eastAsia="Times New Roman"/>
          <w:b w:val="false"/>
          <w:i w:val="false"/>
          <w:strike w:val="false"/>
          <w:color w:val=""/>
          <w:sz w:val="22"/>
        </w:rPr>
        <w:t>ommunit</w:t>
      </w:r>
      <w:r>
        <w:rPr>
          <w:rFonts w:ascii="Times New Roman" w:hAnsi="Times New Roman" w:cs="Times New Roman" w:eastAsia="Times New Roman"/>
          <w:b w:val="false"/>
          <w:i w:val="false"/>
          <w:strike w:val="false"/>
          <w:color w:val=""/>
          <w:sz w:val="22"/>
        </w:rPr>
        <w:t>y</w:t>
      </w:r>
      <w:r>
        <w:rPr>
          <w:rFonts w:ascii="Times New Roman" w:hAnsi="Times New Roman" w:cs="Times New Roman" w:eastAsia="Times New Roman"/>
          <w:b w:val="false"/>
          <w:i w:val="false"/>
          <w:strike w:val="false"/>
          <w:color w:val=""/>
          <w:sz w:val="22"/>
        </w:rPr>
        <w:t xml:space="preserve"> can also enhance </w:t>
      </w:r>
      <w:r>
        <w:rPr>
          <w:rFonts w:ascii="Times New Roman" w:hAnsi="Times New Roman" w:cs="Times New Roman" w:eastAsia="Times New Roman"/>
          <w:b w:val="false"/>
          <w:i w:val="false"/>
          <w:strike w:val="false"/>
          <w:color w:val=""/>
          <w:sz w:val="22"/>
        </w:rPr>
        <w:t>its</w:t>
      </w:r>
      <w:r>
        <w:rPr>
          <w:rFonts w:ascii="Times New Roman" w:hAnsi="Times New Roman" w:cs="Times New Roman" w:eastAsia="Times New Roman"/>
          <w:b w:val="false"/>
          <w:i w:val="false"/>
          <w:strike w:val="false"/>
          <w:color w:val=""/>
          <w:sz w:val="22"/>
        </w:rPr>
        <w:t xml:space="preserve"> economic base if </w:t>
      </w:r>
      <w:r>
        <w:rPr>
          <w:rFonts w:ascii="Times New Roman" w:hAnsi="Times New Roman" w:cs="Times New Roman" w:eastAsia="Times New Roman"/>
          <w:b w:val="false"/>
          <w:i w:val="false"/>
          <w:strike w:val="false"/>
          <w:color w:val=""/>
          <w:sz w:val="22"/>
        </w:rPr>
        <w:t>it</w:t>
      </w:r>
      <w:r>
        <w:rPr>
          <w:rFonts w:ascii="Times New Roman" w:hAnsi="Times New Roman" w:cs="Times New Roman" w:eastAsia="Times New Roman"/>
          <w:b w:val="false"/>
          <w:i w:val="false"/>
          <w:strike w:val="false"/>
          <w:color w:val=""/>
          <w:sz w:val="22"/>
        </w:rPr>
        <w:t xml:space="preserve"> can attract businesses that are compatible with the ones that are already there. Such firms can be identified by asking existing firms </w:t>
      </w:r>
      <w:r>
        <w:rPr>
          <w:rFonts w:ascii="Times New Roman" w:hAnsi="Times New Roman" w:cs="Times New Roman" w:eastAsia="Times New Roman"/>
          <w:b w:val="false"/>
          <w:i w:val="false"/>
          <w:strike w:val="false"/>
          <w:color w:val=""/>
          <w:sz w:val="22"/>
        </w:rPr>
        <w:t xml:space="preserve">to identify </w:t>
      </w:r>
      <w:r>
        <w:rPr>
          <w:rFonts w:ascii="Times New Roman" w:hAnsi="Times New Roman" w:cs="Times New Roman" w:eastAsia="Times New Roman"/>
          <w:b w:val="false"/>
          <w:i w:val="false"/>
          <w:strike w:val="false"/>
          <w:color w:val=""/>
          <w:sz w:val="22"/>
        </w:rPr>
        <w:t xml:space="preserve">their suppliers and distributors. These new firms might be attracted by the newer buildings and enhanced infrastructure that has been produced </w:t>
      </w:r>
      <w:r>
        <w:rPr>
          <w:rFonts w:ascii="Times New Roman" w:hAnsi="Times New Roman" w:cs="Times New Roman" w:eastAsia="Times New Roman"/>
          <w:b w:val="false"/>
          <w:i w:val="false"/>
          <w:strike w:val="false"/>
          <w:color w:val=""/>
          <w:sz w:val="22"/>
        </w:rPr>
        <w:t>during</w:t>
      </w:r>
      <w:r>
        <w:rPr>
          <w:rFonts w:ascii="Times New Roman" w:hAnsi="Times New Roman" w:cs="Times New Roman" w:eastAsia="Times New Roman"/>
          <w:b w:val="false"/>
          <w:i w:val="false"/>
          <w:strike w:val="false"/>
          <w:color w:val=""/>
          <w:sz w:val="22"/>
        </w:rPr>
        <w:t xml:space="preserve"> disaster reconstruction. </w:t>
      </w:r>
    </w:p>
    <w:p>
      <w:pPr>
        <w:pStyle w:val=""/>
        <w:jc w:val="both"/>
      </w:pPr>
      <w:r>
        <w:rPr>
          <w:rFonts w:ascii="Times New Roman" w:hAnsi="Times New Roman" w:cs="Times New Roman" w:eastAsia="Times New Roman"/>
          <w:b w:val="false"/>
          <w:i w:val="false"/>
          <w:strike w:val="false"/>
          <w:color w:val=""/>
          <w:sz w:val="22"/>
        </w:rPr>
        <w:t xml:space="preserve">If a disaster stricken community does not already have such assets, they can invest in four fundamental components of economic development—locality development, business development, human resources development, and community development. </w:t>
      </w:r>
      <w:r>
        <w:rPr>
          <w:rFonts w:ascii="Times New Roman" w:hAnsi="Times New Roman" w:cs="Times New Roman" w:eastAsia="Times New Roman"/>
          <w:b w:val="false"/>
          <w:i w:val="true"/>
          <w:strike w:val="false"/>
          <w:color w:val=""/>
          <w:sz w:val="22"/>
        </w:rPr>
        <w:t>Locality development</w:t>
      </w:r>
      <w:r>
        <w:rPr>
          <w:rFonts w:ascii="Times New Roman" w:hAnsi="Times New Roman" w:cs="Times New Roman" w:eastAsia="Times New Roman"/>
          <w:b w:val="false"/>
          <w:i w:val="false"/>
          <w:strike w:val="false"/>
          <w:color w:val=""/>
          <w:sz w:val="22"/>
        </w:rPr>
        <w:t xml:space="preserve"> enhanc</w:t>
      </w:r>
      <w:r>
        <w:rPr>
          <w:rFonts w:ascii="Times New Roman" w:hAnsi="Times New Roman" w:cs="Times New Roman" w:eastAsia="Times New Roman"/>
          <w:b w:val="false"/>
          <w:i w:val="false"/>
          <w:strike w:val="false"/>
          <w:color w:val=""/>
          <w:sz w:val="22"/>
        </w:rPr>
        <w:t>es</w:t>
      </w:r>
      <w:r>
        <w:rPr>
          <w:rFonts w:ascii="Times New Roman" w:hAnsi="Times New Roman" w:cs="Times New Roman" w:eastAsia="Times New Roman"/>
          <w:b w:val="false"/>
          <w:i w:val="false"/>
          <w:strike w:val="false"/>
          <w:color w:val=""/>
          <w:sz w:val="22"/>
        </w:rPr>
        <w:t xml:space="preserve"> a community’s existing physical assets by improving roads or establishing parks on river and lakefronts. </w:t>
      </w:r>
      <w:r>
        <w:rPr>
          <w:rFonts w:ascii="Times New Roman" w:hAnsi="Times New Roman" w:cs="Times New Roman" w:eastAsia="Times New Roman"/>
          <w:b w:val="false"/>
          <w:i w:val="true"/>
          <w:strike w:val="false"/>
          <w:color w:val=""/>
          <w:sz w:val="22"/>
        </w:rPr>
        <w:t xml:space="preserve">Business development </w:t>
      </w:r>
      <w:r>
        <w:rPr>
          <w:rFonts w:ascii="Times New Roman" w:hAnsi="Times New Roman" w:cs="Times New Roman" w:eastAsia="Times New Roman"/>
          <w:b w:val="false"/>
          <w:i w:val="false"/>
          <w:strike w:val="false"/>
          <w:color w:val=""/>
          <w:sz w:val="22"/>
        </w:rPr>
        <w:t xml:space="preserve">involves efforts to retain existing businesses or attract new ones. Although it is not easy, this can be accomplished working with businesses to identify their critical needs. In some cases, this might involve establishing a business incubator that allows startup companies to obtain low cost space and share meetings rooms. </w:t>
      </w:r>
      <w:r>
        <w:rPr>
          <w:rFonts w:ascii="Times New Roman" w:hAnsi="Times New Roman" w:cs="Times New Roman" w:eastAsia="Times New Roman"/>
          <w:b w:val="false"/>
          <w:i w:val="true"/>
          <w:strike w:val="false"/>
          <w:color w:val=""/>
          <w:sz w:val="22"/>
        </w:rPr>
        <w:t>Human resources development</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expands the</w:t>
      </w:r>
      <w:r>
        <w:rPr>
          <w:rFonts w:ascii="Times New Roman" w:hAnsi="Times New Roman" w:cs="Times New Roman" w:eastAsia="Times New Roman"/>
          <w:b w:val="false"/>
          <w:i w:val="false"/>
          <w:strike w:val="false"/>
          <w:color w:val=""/>
          <w:sz w:val="22"/>
        </w:rPr>
        <w:t xml:space="preserve"> skilled workforce, possibly through customized worker training. Finally, </w:t>
      </w:r>
      <w:r>
        <w:rPr>
          <w:rFonts w:ascii="Times New Roman" w:hAnsi="Times New Roman" w:cs="Times New Roman" w:eastAsia="Times New Roman"/>
          <w:b w:val="false"/>
          <w:i w:val="true"/>
          <w:strike w:val="false"/>
          <w:color w:val=""/>
          <w:sz w:val="22"/>
        </w:rPr>
        <w:t>community development</w:t>
      </w:r>
      <w:r>
        <w:rPr>
          <w:rFonts w:ascii="Times New Roman" w:hAnsi="Times New Roman" w:cs="Times New Roman" w:eastAsia="Times New Roman"/>
          <w:b w:val="false"/>
          <w:i w:val="false"/>
          <w:strike w:val="false"/>
          <w:color w:val=""/>
          <w:sz w:val="22"/>
        </w:rPr>
        <w:t xml:space="preserve"> utiliz</w:t>
      </w:r>
      <w:r>
        <w:rPr>
          <w:rFonts w:ascii="Times New Roman" w:hAnsi="Times New Roman" w:cs="Times New Roman" w:eastAsia="Times New Roman"/>
          <w:b w:val="false"/>
          <w:i w:val="false"/>
          <w:strike w:val="false"/>
          <w:color w:val=""/>
          <w:sz w:val="22"/>
        </w:rPr>
        <w:t>es</w:t>
      </w:r>
      <w:r>
        <w:rPr>
          <w:rFonts w:ascii="Times New Roman" w:hAnsi="Times New Roman" w:cs="Times New Roman" w:eastAsia="Times New Roman"/>
          <w:b w:val="false"/>
          <w:i w:val="false"/>
          <w:strike w:val="false"/>
          <w:color w:val=""/>
          <w:sz w:val="22"/>
        </w:rPr>
        <w:t xml:space="preserve"> NGOs, CBOs, and local firms that will hire current residents of the community whose household incomes are below the poverty level. For example, a comprehensive program for developing small businesses, affordable housing, community health clinics, and inexpensive child care can help to eliminate some of what new businesses might consider to be one of the risks of relocating to the community.</w:t>
      </w:r>
    </w:p>
    <w:p>
      <w:pPr>
        <w:pStyle w:val=""/>
        <w:jc w:val="both"/>
      </w:pPr>
      <w:r>
        <w:rPr>
          <w:rFonts w:ascii="Times New Roman" w:hAnsi="Times New Roman" w:cs="Times New Roman" w:eastAsia="Times New Roman"/>
          <w:b w:val="false"/>
          <w:i w:val="true"/>
          <w:strike w:val="false"/>
          <w:color w:val=""/>
          <w:sz w:val="22"/>
        </w:rPr>
        <w:t xml:space="preserve">Developing a Recovery Operations Plan </w:t>
      </w:r>
    </w:p>
    <w:p>
      <w:pPr>
        <w:pStyle w:val="BodyTextIndent2"/>
        <w:jc w:val="both"/>
      </w:pPr>
      <w:r>
        <w:rPr>
          <w:rFonts w:ascii="" w:hAnsi="" w:cs="" w:eastAsia=""/>
          <w:b w:val="false"/>
          <w:i w:val="false"/>
          <w:strike w:val="false"/>
          <w:color w:val=""/>
          <w:sz w:val="22"/>
        </w:rPr>
        <w:t>As was the case with emergency response, the demands of disaster recovery imply that specific functions be performed. Table 11-6 identifies four principal disaster recovery functions—disaster assessment, short term recovery, long term reconstruction, and recovery management. The recovery phase’s disaster assessment function should be integrated with the emergency response phase’s emergency assessment function in identifying the physical impacts of the disaster. Short term recovery focuses on the immediate tasks of securing the impact area, housing victims, and establishing conditions under which households and businesses can begin the process of recovery. Long term reconstruction actually implements the reconstruction of the disaster impact area and manages the disaster’s psychological, demographic, economic, and political impacts. Finally, recovery management monitors the performance of the disaster assessment, short term recovery, and long term reconstruction functions</w:t>
      </w:r>
      <w:r>
        <w:rPr>
          <w:rFonts w:ascii="" w:hAnsi="" w:cs="" w:eastAsia=""/>
          <w:b w:val="false"/>
          <w:i w:val="false"/>
          <w:strike w:val="false"/>
          <w:color w:val=""/>
          <w:sz w:val="22"/>
        </w:rPr>
        <w:t>. It also</w:t>
      </w:r>
      <w:r>
        <w:rPr>
          <w:rFonts w:ascii="" w:hAnsi="" w:cs="" w:eastAsia=""/>
          <w:b w:val="false"/>
          <w:i w:val="false"/>
          <w:strike w:val="false"/>
          <w:color w:val=""/>
          <w:sz w:val="22"/>
        </w:rPr>
        <w:t xml:space="preserve"> ensures </w:t>
      </w:r>
      <w:r>
        <w:rPr>
          <w:rFonts w:ascii="" w:hAnsi="" w:cs="" w:eastAsia=""/>
          <w:b w:val="false"/>
          <w:i w:val="false"/>
          <w:strike w:val="false"/>
          <w:color w:val=""/>
          <w:sz w:val="22"/>
        </w:rPr>
        <w:t>they are coordinated</w:t>
      </w:r>
      <w:r>
        <w:rPr>
          <w:rFonts w:ascii="" w:hAnsi="" w:cs="" w:eastAsia=""/>
          <w:b w:val="false"/>
          <w:i w:val="false"/>
          <w:strike w:val="false"/>
          <w:color w:val=""/>
          <w:sz w:val="22"/>
        </w:rPr>
        <w:t xml:space="preserve"> and provides the resources needed to accomplish them. The following section describes each of these functions in greater detail.</w:t>
      </w:r>
    </w:p>
    <w:p>
      <w:pPr>
        <w:pStyle w:val="BodyTextIndent2"/>
        <w:jc w:val="both"/>
      </w:pPr>
      <w:r>
        <w:rPr>
          <w:rFonts w:ascii="" w:hAnsi="" w:cs="" w:eastAsia=""/>
          <w:b w:val="true"/>
          <w:i w:val="false"/>
          <w:strike w:val="false"/>
          <w:color w:val=""/>
          <w:sz w:val="22"/>
        </w:rPr>
        <w:t>Table 11-6</w:t>
      </w:r>
      <w:r>
        <w:rPr>
          <w:rFonts w:ascii="" w:hAnsi="" w:cs="" w:eastAsia=""/>
          <w:b w:val="false"/>
          <w:i w:val="false"/>
          <w:strike w:val="false"/>
          <w:color w:val=""/>
          <w:sz w:val="22"/>
        </w:rPr>
        <w:t>.</w:t>
      </w:r>
      <w:r>
        <w:rPr>
          <w:rFonts w:ascii="" w:hAnsi="" w:cs="" w:eastAsia=""/>
          <w:b w:val="false"/>
          <w:i w:val="false"/>
          <w:strike w:val="false"/>
          <w:color w:val=""/>
          <w:sz w:val="22"/>
        </w:rPr>
        <w:t>Disaster Recovery Functions.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Disaster Assessment</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Rapid assessment</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Victims’ needs assessments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Preliminary damage assessment</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“Lessons learned”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Site assessment</w:t>
            </w:r>
          </w:p>
        </w:tc>
        <w:tc>
          <w:tcPr>
            <w:tcW w:type="dxa" w:w="4600"/>
            <w:tcBorders>
              <w:bottom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Short Term Recovery</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Impact area security</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Emergency demolition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Temporary shelter/housing</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Repair permitting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Infrastructure restoration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Donations management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Debris management</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Disaster assistance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Long Term Reconstruction</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Hazard source control and area protection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Infrastructure resilience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Land use practices</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Historic preservation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Building construction practices</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Environmental recovery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left w:val="nil"/>
              <w:bottom w:val="nil"/>
              <w:right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Public health/mental health recovery</w:t>
            </w:r>
          </w:p>
        </w:tc>
        <w:tc>
          <w:tcPr>
            <w:tcW w:type="dxa" w:w="4600"/>
            <w:tcBorders>
              <w:left w:val="nil"/>
              <w:bottom w:val="nil"/>
              <w:right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Disaster memorialization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val="nil"/>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Economic development</w:t>
            </w:r>
          </w:p>
        </w:tc>
        <w:tc>
          <w:tcPr>
            <w:tcW w:type="dxa" w:w="4600"/>
            <w:tcBorders>
              <w:top w:val="nil"/>
              <w:bottom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Recovery Management</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Agency notification and mobilization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Public information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Mobilization of recovery facilities and equipment</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Recovery legal authority and financing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Internal direction and control</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Administrative and logistical support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External coordination</w:t>
            </w:r>
          </w:p>
        </w:tc>
        <w:tc>
          <w:tcPr>
            <w:tcW w:type="dxa" w:w="4600"/>
            <w:tcBorders>
              <w:bottom w:color="auto" w:space="0" w:sz="4" w:val="single"/>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Documentation</w:t>
            </w:r>
          </w:p>
        </w:tc>
      </w:tr>
    </w:tbl>
    <w:p>
      <w:r>
        <w:t>
</w:t>
        <w:t>
</w:t>
      </w:r>
    </w:p>
    <w:p>
      <w:pPr>
        <w:pStyle w:val="BodyTextIndent2"/>
        <w:jc w:val="both"/>
      </w:pPr>
      <w:r>
        <w:rPr>
          <w:rFonts w:ascii="" w:hAnsi="" w:cs="" w:eastAsia=""/>
          <w:b w:val="false"/>
          <w:i w:val="true"/>
          <w:strike w:val="false"/>
          <w:color w:val=""/>
          <w:sz w:val="22"/>
        </w:rPr>
        <w:t>Disaster Assessment</w:t>
      </w:r>
    </w:p>
    <w:p>
      <w:pPr>
        <w:pStyle w:val="BodyTextIndent2"/>
        <w:jc w:val="both"/>
      </w:pPr>
      <w:r>
        <w:rPr>
          <w:rFonts w:ascii="" w:hAnsi="" w:cs="" w:eastAsia=""/>
          <w:b w:val="false"/>
          <w:i w:val="false"/>
          <w:strike w:val="false"/>
          <w:color w:val=""/>
          <w:sz w:val="22"/>
        </w:rPr>
        <w:t xml:space="preserve">Disaster assessment includes both physical and social impact assessment. Physical impact assessment, which is usually called </w:t>
      </w:r>
      <w:r>
        <w:rPr>
          <w:rFonts w:ascii="" w:hAnsi="" w:cs="" w:eastAsia=""/>
          <w:b w:val="false"/>
          <w:i w:val="true"/>
          <w:strike w:val="false"/>
          <w:color w:val=""/>
          <w:sz w:val="22"/>
        </w:rPr>
        <w:t>damage assessment</w:t>
      </w:r>
      <w:r>
        <w:rPr>
          <w:rFonts w:ascii="" w:hAnsi="" w:cs="" w:eastAsia=""/>
          <w:b w:val="false"/>
          <w:i w:val="false"/>
          <w:strike w:val="false"/>
          <w:color w:val=""/>
          <w:sz w:val="22"/>
        </w:rPr>
        <w:t xml:space="preserve">, must </w:t>
      </w:r>
      <w:r>
        <w:rPr>
          <w:rFonts w:ascii="" w:hAnsi="" w:cs="" w:eastAsia=""/>
          <w:b w:val="false"/>
          <w:i w:val="false"/>
          <w:strike w:val="false"/>
          <w:color w:val=""/>
          <w:sz w:val="22"/>
        </w:rPr>
        <w:t>address</w:t>
      </w:r>
      <w:r>
        <w:rPr>
          <w:rFonts w:ascii="" w:hAnsi="" w:cs="" w:eastAsia=""/>
          <w:b w:val="false"/>
          <w:i w:val="false"/>
          <w:strike w:val="false"/>
          <w:color w:val=""/>
          <w:sz w:val="22"/>
        </w:rPr>
        <w:t xml:space="preserve"> residential, commercial, and industrial buildings. In addition, there is a need to conduct damage assessment for infrastructure such as water, sewer, electric power, fuel, transportation, and telecommunications systems. Finally, damage assessment also must address critical facilities such as hospitals, police stations, and fire stations. In addition, there is a need for social impact assessment, usually called victims’ needs assessment to assure that the available recovery programs are meeting victims’ needs. Finally, “lessons learned” examines the disaster’s physical and social impacts to identify ways in which the mitigation actions can be taken to reduce the community’s hazard vulnerability.</w:t>
      </w:r>
    </w:p>
    <w:p>
      <w:pPr>
        <w:pStyle w:val="BodyTextIndent2"/>
        <w:jc w:val="both"/>
      </w:pPr>
      <w:r>
        <w:rPr>
          <w:rFonts w:ascii="" w:hAnsi="" w:cs="" w:eastAsia=""/>
          <w:b w:val="false"/>
          <w:i w:val="true"/>
          <w:strike w:val="false"/>
          <w:color w:val=""/>
          <w:sz w:val="22"/>
        </w:rPr>
        <w:t>Damage assessment</w:t>
      </w:r>
      <w:r>
        <w:rPr>
          <w:rFonts w:ascii="" w:hAnsi="" w:cs="" w:eastAsia=""/>
          <w:b w:val="false"/>
          <w:i w:val="false"/>
          <w:strike w:val="false"/>
          <w:color w:val=""/>
          <w:sz w:val="22"/>
        </w:rPr>
        <w:t xml:space="preserve">. There are three basic types of damage assessment (FEMA, 1995c). The first type, </w:t>
      </w:r>
      <w:r>
        <w:rPr>
          <w:rFonts w:ascii="" w:hAnsi="" w:cs="" w:eastAsia=""/>
          <w:b w:val="false"/>
          <w:i w:val="true"/>
          <w:strike w:val="false"/>
          <w:color w:val=""/>
          <w:sz w:val="22"/>
        </w:rPr>
        <w:t>rapid assessment</w:t>
      </w:r>
      <w:r>
        <w:rPr>
          <w:rFonts w:ascii="" w:hAnsi="" w:cs="" w:eastAsia=""/>
          <w:b w:val="false"/>
          <w:i w:val="false"/>
          <w:strike w:val="false"/>
          <w:color w:val=""/>
          <w:sz w:val="22"/>
        </w:rPr>
        <w:t xml:space="preserve">, is usually conducted during the emergency response, preferably within the first 24 hours (Schwab, et al., 1998). The purpose of rapid assessment is to identify the areas affected by the disaster and the approximate magnitude of the disaster’s physical impacts. It is especially important to assess the need for lifesaving activities very quickly, so rapid assessment should be completed within one to three hours after disaster impact. In turn, this allows emergency managers to determine where there are collapsed buildings requiring search and rescue operations and whether there is a potential for secondary </w:t>
      </w:r>
      <w:r>
        <w:rPr>
          <w:rFonts w:ascii="" w:hAnsi="" w:cs="" w:eastAsia=""/>
          <w:b w:val="false"/>
          <w:i w:val="false"/>
          <w:strike w:val="false"/>
          <w:color w:val=""/>
          <w:sz w:val="22"/>
        </w:rPr>
        <w:t xml:space="preserve">impacts </w:t>
      </w:r>
      <w:r>
        <w:rPr>
          <w:rFonts w:ascii="" w:hAnsi="" w:cs="" w:eastAsia=""/>
          <w:b w:val="false"/>
          <w:i w:val="false"/>
          <w:strike w:val="false"/>
          <w:color w:val=""/>
          <w:sz w:val="22"/>
        </w:rPr>
        <w:t xml:space="preserve">such as hazmat releases after an earthquake. Rapid assessment also provides information about the status of infrastructure and critical facilities, as well as whether there is likely to be a need for assistance from other local jurisdictions or other levels of government. A rapid assessment is performed by available police, fire, and public works personnel—both on shift and recalled to duty—to conduct assessments in predetermined geographic sectors of the community. Supplementary data can be provided for a rapid assessment from the private sector organizations that own or operate lifelines and critical facilities. </w:t>
      </w:r>
    </w:p>
    <w:p>
      <w:pPr>
        <w:pStyle w:val="BodyTextIndent2"/>
        <w:jc w:val="both"/>
      </w:pPr>
      <w:r>
        <w:rPr>
          <w:rFonts w:ascii="" w:hAnsi="" w:cs="" w:eastAsia=""/>
          <w:b w:val="false"/>
          <w:i w:val="false"/>
          <w:strike w:val="false"/>
          <w:color w:val=""/>
          <w:sz w:val="22"/>
        </w:rPr>
        <w:t xml:space="preserve">The second type of assessment is the </w:t>
      </w:r>
      <w:r>
        <w:rPr>
          <w:rFonts w:ascii="" w:hAnsi="" w:cs="" w:eastAsia=""/>
          <w:b w:val="false"/>
          <w:i w:val="true"/>
          <w:strike w:val="false"/>
          <w:color w:val=""/>
          <w:sz w:val="22"/>
        </w:rPr>
        <w:t>preliminary damage assessment</w:t>
      </w:r>
      <w:r>
        <w:rPr>
          <w:rFonts w:ascii="" w:hAnsi="" w:cs="" w:eastAsia=""/>
          <w:b w:val="false"/>
          <w:i w:val="false"/>
          <w:strike w:val="false"/>
          <w:color w:val=""/>
          <w:sz w:val="22"/>
        </w:rPr>
        <w:t xml:space="preserve">, which is designed to produce counts of destroyed, severely damaged, moderately damaged, and slightly damaged structures. This level of assessment should be completed within a 3-4 days, depending on the size and accessibility of the impact area and the number and prior training of the damage assessment teams. The data from the preliminary damage assessment are used to support requests for state and federal disaster declarations. A preliminary damage assessment is performed by having local government personnel perform </w:t>
      </w:r>
      <w:r>
        <w:rPr>
          <w:rFonts w:ascii="" w:hAnsi="" w:cs="" w:eastAsia=""/>
          <w:b w:val="false"/>
          <w:i w:val="true"/>
          <w:strike w:val="false"/>
          <w:color w:val=""/>
          <w:sz w:val="22"/>
        </w:rPr>
        <w:t>windshield surveys</w:t>
      </w:r>
      <w:r>
        <w:rPr>
          <w:rFonts w:ascii="" w:hAnsi="" w:cs="" w:eastAsia=""/>
          <w:b w:val="false"/>
          <w:i w:val="false"/>
          <w:strike w:val="false"/>
          <w:color w:val=""/>
          <w:sz w:val="22"/>
        </w:rPr>
        <w:t xml:space="preserve"> by driving along all of the streets in the impact area (as the name suggests, they do not get out of their cars). Inspectors tally counts of damaged structures, with residential structures being classified by income levels and structural categories (single family, mobile home, multifamily residential structures). Buildings can then be tagged red, yellow, or green depending on the level of damage and occupant safety, with red tagged buildings being unsuitable for occupancy. A preliminary damage assessment should also include estimates of percentages of households with insurance coverage because this will affect the speed with which affected individuals and communities are able to replace their housing. </w:t>
      </w:r>
    </w:p>
    <w:p>
      <w:pPr>
        <w:pStyle w:val="BodyTextIndent2"/>
        <w:jc w:val="both"/>
      </w:pPr>
      <w:r>
        <w:rPr>
          <w:rFonts w:ascii="" w:hAnsi="" w:cs="" w:eastAsia=""/>
          <w:b w:val="false"/>
          <w:i w:val="false"/>
          <w:strike w:val="false"/>
          <w:color w:val=""/>
          <w:sz w:val="22"/>
        </w:rPr>
        <w:t xml:space="preserve">Finally, a </w:t>
      </w:r>
      <w:r>
        <w:rPr>
          <w:rFonts w:ascii="" w:hAnsi="" w:cs="" w:eastAsia=""/>
          <w:b w:val="false"/>
          <w:i w:val="true"/>
          <w:strike w:val="false"/>
          <w:color w:val=""/>
          <w:sz w:val="22"/>
        </w:rPr>
        <w:t>site assessment</w:t>
      </w:r>
      <w:r>
        <w:rPr>
          <w:rFonts w:ascii="" w:hAnsi="" w:cs="" w:eastAsia=""/>
          <w:b w:val="false"/>
          <w:i w:val="false"/>
          <w:strike w:val="false"/>
          <w:color w:val=""/>
          <w:sz w:val="22"/>
        </w:rPr>
        <w:t xml:space="preserve"> is meant to produce detailed estimates of the cost to repair or replace each affected structure. This information is used to support requests for federal assistance to the owners of the damaged property. It includes estimates of losses to residential properties in order to understand both the level of need for temporary shelter and temporary housing and for repair assistance. Losses to commercial and industrial structures are assessed in order to understand the level of need for repair assistance and economic injury assistance. Losses to public property must be assessed in order for the community to apply for repair assistance. Site assessments require technically trained personnel such as architects, structural engineers, and building inspectors for multistory structures such as apartment buildings. These personnel can usually be drawn from city staff, but additional personnel might be recruited from other local organizations or </w:t>
      </w:r>
      <w:r>
        <w:rPr>
          <w:rFonts w:ascii="" w:hAnsi="" w:cs="" w:eastAsia=""/>
          <w:b w:val="false"/>
          <w:i w:val="false"/>
          <w:strike w:val="false"/>
          <w:color w:val=""/>
          <w:sz w:val="22"/>
        </w:rPr>
        <w:t>obtained</w:t>
      </w:r>
      <w:r>
        <w:rPr>
          <w:rFonts w:ascii="" w:hAnsi="" w:cs="" w:eastAsia=""/>
          <w:b w:val="false"/>
          <w:i w:val="false"/>
          <w:strike w:val="false"/>
          <w:color w:val=""/>
          <w:sz w:val="22"/>
        </w:rPr>
        <w:t xml:space="preserve"> from outside the community (e.g., through mutual aid agreements with other jurisdictions or memoranda of agreement with professional societies). Skilled construction professionals can be supplemented by volunteers who can conduct site assessments for most single family residences if they have been trained in the use of well designed checklists. A site assessment might take weeks to complete, depending on the size and accessibility of the impact area as well as the number and training level of the assessment </w:t>
      </w:r>
      <w:r>
        <w:rPr>
          <w:rFonts w:ascii="" w:hAnsi="" w:cs="" w:eastAsia=""/>
          <w:b w:val="false"/>
          <w:i w:val="false"/>
          <w:strike w:val="false"/>
          <w:color w:val=""/>
          <w:sz w:val="22"/>
        </w:rPr>
        <w:t>personnel</w:t>
      </w:r>
      <w:r>
        <w:rPr>
          <w:rFonts w:ascii="" w:hAnsi="" w:cs="" w:eastAsia=""/>
          <w:b w:val="false"/>
          <w:i w:val="false"/>
          <w:strike w:val="false"/>
          <w:color w:val=""/>
          <w:sz w:val="22"/>
        </w:rPr>
        <w:t>. These methods of damage assessment can be compared to the procedures of cost estimation that are used in routine construction projects, as shown in Table 11-7.</w:t>
      </w:r>
    </w:p>
    <w:p>
      <w:pPr>
        <w:pStyle w:val="BodyTextIndent2"/>
        <w:jc w:val="both"/>
      </w:pPr>
      <w:r>
        <w:rPr>
          <w:rFonts w:ascii="" w:hAnsi="" w:cs="" w:eastAsia=""/>
          <w:b w:val="true"/>
          <w:i w:val="false"/>
          <w:strike w:val="false"/>
          <w:color w:val=""/>
          <w:sz w:val="22"/>
        </w:rPr>
        <w:t>Table 11-7</w:t>
      </w:r>
      <w:r>
        <w:rPr>
          <w:rFonts w:ascii="" w:hAnsi="" w:cs="" w:eastAsia=""/>
          <w:b w:val="false"/>
          <w:i w:val="false"/>
          <w:strike w:val="false"/>
          <w:color w:val=""/>
          <w:sz w:val="22"/>
        </w:rPr>
        <w:t>. Types of Postdisaster Damage Assessments.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15"/>
        </w:trPr>
        <w:tc>
          <w:tcPr>
            <w:tcW w:type="dxa" w:w="4671"/>
            <w:tcBorders>
              <w:top w:color="auto" w:space="0" w:sz="4" w:val="single"/>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Damage Assessment</w:t>
            </w:r>
          </w:p>
        </w:tc>
        <w:tc>
          <w:tcPr>
            <w:tcW w:type="dxa" w:w="4689"/>
            <w:tcBorders>
              <w:top w:color="auto" w:space="0" w:sz="4" w:val="single"/>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Routine Construction Cost Estimation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60"/>
        </w:trPr>
        <w:tc>
          <w:tcPr>
            <w:tcW w:type="dxa" w:w="4671"/>
            <w:tcBorders>
              <w:top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 xml:space="preserve">Rapid Damage Assessment </w:t>
            </w:r>
          </w:p>
        </w:tc>
        <w:tc>
          <w:tcPr>
            <w:tcW w:type="dxa" w:w="4689"/>
            <w:tcBorders>
              <w:top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43"/>
        </w:trPr>
        <w:tc>
          <w:tcPr>
            <w:tcW w:type="dxa" w:w="4671"/>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Preliminary Damage Assessment</w:t>
            </w:r>
          </w:p>
        </w:tc>
        <w:tc>
          <w:tcPr>
            <w:tcW w:type="dxa" w:w="4689"/>
          </w:tcPr>
          <w:p w:rsidP="00FC75E1" w:rsidR="00FA1A52" w:rsidRDefault="00FA1A52" w:rsidRPr="000C4EFB">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70"/>
        </w:trPr>
        <w:tc>
          <w:tcPr>
            <w:tcW w:type="dxa" w:w="4671"/>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noProof/>
                <w:sz w:val="18"/>
                <w:szCs w:val="18"/>
              </w:rPr>
              <mc:AlternateContent>
                <mc:Choice Requires="wps">
                  <w:drawing>
                    <wp:anchor allowOverlap="1" behindDoc="0" distB="0" distL="114300" distR="114300" distT="0" layoutInCell="1" locked="0" relativeHeight="251661312" simplePos="0">
                      <wp:simplePos x="0" y="0"/>
                      <wp:positionH relativeFrom="column">
                        <wp:posOffset>1080135</wp:posOffset>
                      </wp:positionH>
                      <wp:positionV relativeFrom="paragraph">
                        <wp:posOffset>100330</wp:posOffset>
                      </wp:positionV>
                      <wp:extent cx="1828800" cy="0"/>
                      <wp:effectExtent b="58420" l="5715" r="22860" t="5588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len="med" type="triangle" w="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from="85.05pt,7.9pt" id="Straight Connector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pLHnlMQIAAFgEAAAOAAAAZHJzL2Uyb0RvYy54bWysVMuu2yAQ3VfqPyD2ie00SR0rzlVlJ93c 9kbK7QcQwDYqBgQkTlT13zuQR5t2U1XNggwwHM6cM3j5dOolOnLrhFYlzsYpRlxRzYRqS/zldTPK MXKeKEakVrzEZ+7w0+rtm+VgCj7RnZaMWwQgyhWDKXHnvSmSxNGO98SNteEKNhtte+JhatuEWTIA ei+TSZrOk0FbZqym3DlYrS+beBXxm4ZT/9I0jnskSwzcfBxtHPdhTFZLUrSWmE7QKw3yDyx6IhRc eoeqiSfoYMUfUL2gVjvd+DHVfaKbRlAea4BqsvS3anYdMTzWAuI4c5fJ/T9Y+vm4tUgw8A4jRXqw aOctEW3nUaWVAgG1RVnQaTCugPRKbW2olJ7Uzjxr+tUhpauOqJZHvq9nAyDxRPJwJEycgdv2wyfN IIccvI6inRrbB0iQA52iN+e7N/zkEYXFLJ/keQoW0tteQorbQWOd/8h1j0JQYilUkI0U5PjsPFCH 1FtKWFZ6I6SM1kuFhhIvZpNZPOC0FCxshjRn230lLTqS0DzxF3QAsIc0qw+KRbCOE7a+xp4ICTHy UQ5vBQgkOQ639ZxhJDm8lxBdEKUKN0KxQPgaXfrn2yJdrPN1Ph1NJ/P1aJrW9ejDppqO5pvs/ax+ V1dVnX0P5LNp0QnGuAr8b72cTf+uV66v6tKF926+C5U8okcRgOztP5KObgeDL62y1+y8taG6YDy0 b0y+PrXwPn6dx6yfH4TVDwAAAP//AwBQSwMEFAAGAAgAAAAhAEhQkLTdAAAACQEAAA8AAABkcnMv ZG93bnJldi54bWxMT01Lw0AQvQv+h2UEb3YTsTbEbEoR6qVVaSuit212TEKzs2F308Z/74gHe5v3 wZv3ivloO3FEH1pHCtJJAgKpcqalWsHbbnmTgQhRk9GdI1TwjQHm5eVFoXPjTrTB4zbWgkMo5FpB E2OfSxmqBq0OE9cjsfblvNWRoa+l8frE4baTt0lyL61uiT80usfHBqvDdrAKNuvlKntfDWPlP5/S l93r+vkjZEpdX42LBxARx/hvht/6XB1K7rR3A5kgOsazJGUrH1OewIa7acbE/o+QZSHPF5Q/AAAA //8DAFBLAQItABQABgAIAAAAIQC2gziS/gAAAOEBAAATAAAAAAAAAAAAAAAAAAAAAABbQ29udGVu dF9UeXBlc10ueG1sUEsBAi0AFAAGAAgAAAAhADj9If/WAAAAlAEAAAsAAAAAAAAAAAAAAAAALwEA AF9yZWxzLy5yZWxzUEsBAi0AFAAGAAgAAAAhACkseeUxAgAAWAQAAA4AAAAAAAAAAAAAAAAALgIA AGRycy9lMm9Eb2MueG1sUEsBAi0AFAAGAAgAAAAhAEhQkLTdAAAACQEAAA8AAAAAAAAAAAAAAAAA iwQAAGRycy9kb3ducmV2LnhtbFBLBQYAAAAABAAEAPMAAACVBQAAAAA= "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o="229.05pt,7.9pt" w14:anchorId="7ED97398">
                      <v:stroke endarrow="block"/>
                    </v:line>
                  </w:pict>
                </mc:Fallback>
              </mc:AlternateContent>
            </w:r>
            <w:r w:rsidRPr="000C4EFB">
              <w:rPr>
                <w:rFonts w:ascii="Arial" w:hAnsi="Arial"/>
                <w:sz w:val="18"/>
                <w:szCs w:val="18"/>
              </w:rPr>
              <w:t>Site Assessment</w:t>
            </w:r>
          </w:p>
        </w:tc>
        <w:tc>
          <w:tcPr>
            <w:tcW w:type="dxa" w:w="4689"/>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Preliminary Cost Estimate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140"/>
        </w:trPr>
        <w:tc>
          <w:tcPr>
            <w:tcW w:type="dxa" w:w="4671"/>
            <w:tcBorders>
              <w:bottom w:color="auto" w:space="0" w:sz="4" w:val="single"/>
            </w:tcBorders>
          </w:tcPr>
          <w:p w:rsidP="00FC75E1" w:rsidR="00FA1A52" w:rsidRDefault="00FA1A52" w:rsidRPr="000C4EFB">
            <w:pPr>
              <w:pStyle w:val="BodyTextIndent2"/>
              <w:spacing w:after="40" w:before="40" w:line="200" w:lineRule="exact"/>
              <w:ind w:firstLine="720"/>
              <w:jc w:val="both"/>
              <w:rPr>
                <w:rFonts w:ascii="Arial" w:hAnsi="Arial"/>
                <w:sz w:val="18"/>
                <w:szCs w:val="18"/>
              </w:rPr>
            </w:pPr>
          </w:p>
        </w:tc>
        <w:tc>
          <w:tcPr>
            <w:tcW w:type="dxa" w:w="4689"/>
            <w:tcBorders>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Detailed Cost Estimate</w:t>
            </w:r>
          </w:p>
        </w:tc>
      </w:tr>
    </w:tbl>
    <w:p>
      <w:r>
        <w:t>
</w:t>
        <w:t>
</w:t>
      </w:r>
    </w:p>
    <w:p>
      <w:pPr>
        <w:pStyle w:val="BodyTextIndent2"/>
        <w:jc w:val="both"/>
      </w:pPr>
      <w:r>
        <w:rPr>
          <w:rFonts w:ascii="" w:hAnsi="" w:cs="" w:eastAsia=""/>
          <w:b w:val="false"/>
          <w:i w:val="false"/>
          <w:strike w:val="false"/>
          <w:color w:val=""/>
          <w:sz w:val="22"/>
        </w:rPr>
        <w:t>In preparing for the necessary damage assessments, staff from local government departments should be assigned to Damage Assessment Teams (DATs). Their numbers should be augmented as needed by staff from local private sector organizations and neighboring jurisdictions through memoranda of agreement (MOAs) or other contractual arrangements. All DAT members should be trained in a common assessment procedure in order to speed up the process and generate results that are comparable across all DATs within the jurisdiction.</w:t>
      </w:r>
    </w:p>
    <w:p>
      <w:pPr>
        <w:pStyle w:val="BodyTextIndent2"/>
        <w:jc w:val="both"/>
      </w:pPr>
      <w:r>
        <w:rPr>
          <w:rFonts w:ascii="" w:hAnsi="" w:cs="" w:eastAsia=""/>
          <w:b w:val="false"/>
          <w:i w:val="true"/>
          <w:strike w:val="false"/>
          <w:color w:val=""/>
          <w:sz w:val="22"/>
        </w:rPr>
        <w:t>Victims’ needs assessment</w:t>
      </w:r>
      <w:r>
        <w:rPr>
          <w:rFonts w:ascii="" w:hAnsi="" w:cs="" w:eastAsia=""/>
          <w:b w:val="false"/>
          <w:i w:val="false"/>
          <w:strike w:val="false"/>
          <w:color w:val=""/>
          <w:sz w:val="22"/>
        </w:rPr>
        <w:t xml:space="preserve">. The effects of disasters are not confined to physical damage. In addition, affected communities must assess the needs of those individuals and groups who have lost property, been injured, or lost family members. This procedure, called a </w:t>
      </w:r>
      <w:r>
        <w:rPr>
          <w:rFonts w:ascii="" w:hAnsi="" w:cs="" w:eastAsia=""/>
          <w:b w:val="false"/>
          <w:i w:val="true"/>
          <w:strike w:val="false"/>
          <w:color w:val=""/>
          <w:sz w:val="22"/>
        </w:rPr>
        <w:t>victims’ needs assessment</w:t>
      </w:r>
      <w:r>
        <w:rPr>
          <w:rFonts w:ascii="" w:hAnsi="" w:cs="" w:eastAsia=""/>
          <w:b w:val="false"/>
          <w:i w:val="false"/>
          <w:strike w:val="false"/>
          <w:color w:val=""/>
          <w:sz w:val="22"/>
        </w:rPr>
        <w:t xml:space="preserve">, should begin during the preimpact recovery planning process. The first step is to identify the community’s vulnerable segments, which may be defined as specific locations and neighborhoods, or types of households and businesses. The local jurisdiction should assign staff to Victims’ Needs Assessment Teams (VNATs) and supplement them with staff from other organizations. These supplementary staff should be assigned by contract with NGOs and CBOs and trained together with the government staff in methods of victims’ needs assessment. </w:t>
      </w:r>
    </w:p>
    <w:p>
      <w:pPr>
        <w:pStyle w:val="BodyTextIndent2"/>
        <w:jc w:val="both"/>
      </w:pPr>
      <w:r>
        <w:rPr>
          <w:rFonts w:ascii="" w:hAnsi="" w:cs="" w:eastAsia=""/>
          <w:b w:val="false"/>
          <w:i w:val="false"/>
          <w:strike w:val="false"/>
          <w:color w:val=""/>
          <w:sz w:val="22"/>
        </w:rPr>
        <w:t xml:space="preserve">The need for public assistance to finance household and business recovery is inversely related to the savings rate. That is, the lower the savings rate, the higher the need for public assistance. Unfortunately, the savings rate in the </w:t>
      </w:r>
      <w:r>
        <w:rPr>
          <w:rFonts w:ascii="" w:hAnsi="" w:cs="" w:eastAsia=""/>
          <w:b w:val="false"/>
          <w:i w:val="false"/>
          <w:strike w:val="false"/>
          <w:color w:val=""/>
          <w:sz w:val="22"/>
        </w:rPr>
        <w:t>US</w:t>
      </w:r>
      <w:r>
        <w:rPr>
          <w:rFonts w:ascii="" w:hAnsi="" w:cs="" w:eastAsia=""/>
          <w:b w:val="false"/>
          <w:i w:val="false"/>
          <w:strike w:val="false"/>
          <w:color w:val=""/>
          <w:sz w:val="22"/>
        </w:rPr>
        <w:t xml:space="preserve"> has been extremely low for the past decade, so the VNATs should be prepared to find large numbers of households and businesses needing recovery assistance. In addition to housing needs, VNATs should also be prepared to identify households’ needs for employment and other economic assistance (e.g., food, clothing, and other basic needs), as well as their psychological needs. If they are given adequate preimpact training, VNAT team members will be knowledgeable about the availability of local, state, federal, and NGO disaster recovery programs. In turn, this will enable them to accurately diagnose victims’ needs and refer them to the appropriate recovery programs.</w:t>
      </w:r>
    </w:p>
    <w:p>
      <w:pPr>
        <w:pStyle w:val="BodyTextIndent2"/>
        <w:jc w:val="both"/>
      </w:pPr>
      <w:r>
        <w:rPr>
          <w:rFonts w:ascii="" w:hAnsi="" w:cs="" w:eastAsia=""/>
          <w:b w:val="false"/>
          <w:i w:val="true"/>
          <w:strike w:val="false"/>
          <w:color w:val=""/>
          <w:sz w:val="22"/>
        </w:rPr>
        <w:t>“Lessons learned”</w:t>
      </w:r>
      <w:r>
        <w:rPr>
          <w:rFonts w:ascii="" w:hAnsi="" w:cs="" w:eastAsia=""/>
          <w:b w:val="false"/>
          <w:i w:val="false"/>
          <w:strike w:val="false"/>
          <w:color w:val=""/>
          <w:sz w:val="22"/>
        </w:rPr>
        <w:t>. Unless the Recovery/Mitigation Committee establishes evaluation procedures, few lessons are likely to be learned and applied to improving the community’s resilience. Therefore, it should establish a “Lessons Learned” subcommittee, procedures for studying the event, and a well defined scope for its report. The recovery team should use the damage assessment as an opportunity to determine what are the ways, if any, that the jurisdiction should modify its land use plan, building code, and other community operations in the light of the disaster impact. Other issues to be considered should include infrastructure location and replacement, the capital improvements program</w:t>
      </w:r>
      <w:r>
        <w:rPr>
          <w:rFonts w:ascii="" w:hAnsi="" w:cs="" w:eastAsia=""/>
          <w:b w:val="false"/>
          <w:i w:val="false"/>
          <w:strike w:val="false"/>
          <w:color w:val=""/>
          <w:sz w:val="22"/>
        </w:rPr>
        <w:t>, and the provisions of the ROP itself</w:t>
      </w:r>
      <w:r>
        <w:rPr>
          <w:rFonts w:ascii="" w:hAnsi="" w:cs="" w:eastAsia=""/>
          <w:b w:val="false"/>
          <w:i w:val="false"/>
          <w:strike w:val="false"/>
          <w:color w:val=""/>
          <w:sz w:val="22"/>
        </w:rPr>
        <w:t xml:space="preserve">. The delivery date of the report should be set fairly early in the recovery process, perhaps 30 days after the disaster, so its recommendations can be incorporated into the recovery process. This should be an adequate amount of time to collect data, deliberate the implications, and make recommendations for policy revision if the jurisdiction has declared a 30 day moratorium on reconstruction. </w:t>
      </w:r>
    </w:p>
    <w:p>
      <w:pPr>
        <w:pStyle w:val="BodyTextIndent2"/>
        <w:jc w:val="both"/>
      </w:pPr>
      <w:r>
        <w:rPr>
          <w:rFonts w:ascii="" w:hAnsi="" w:cs="" w:eastAsia=""/>
          <w:b w:val="false"/>
          <w:i w:val="true"/>
          <w:strike w:val="false"/>
          <w:color w:val=""/>
          <w:sz w:val="22"/>
        </w:rPr>
        <w:t>Short Term Recovery</w:t>
      </w:r>
    </w:p>
    <w:p>
      <w:pPr>
        <w:pStyle w:val="BodyTextIndent2"/>
        <w:jc w:val="both"/>
      </w:pPr>
      <w:r>
        <w:rPr>
          <w:rFonts w:ascii="" w:hAnsi="" w:cs="" w:eastAsia=""/>
          <w:b w:val="false"/>
          <w:i w:val="true"/>
          <w:strike w:val="false"/>
          <w:color w:val=""/>
          <w:sz w:val="22"/>
        </w:rPr>
        <w:t>Impact area security and reentry.</w:t>
      </w:r>
      <w:r>
        <w:rPr>
          <w:rFonts w:ascii="Arial" w:hAnsi="Arial" w:cs="Arial" w:eastAsia="Arial"/>
          <w:b w:val="false"/>
          <w:i w:val="false"/>
          <w:strike w:val="false"/>
          <w:color w:val=""/>
          <w:sz w:val="22"/>
        </w:rPr>
        <w:t xml:space="preserve"> </w:t>
      </w:r>
      <w:r>
        <w:rPr>
          <w:rFonts w:ascii="" w:hAnsi="" w:cs="" w:eastAsia=""/>
          <w:b w:val="false"/>
          <w:i w:val="false"/>
          <w:strike w:val="false"/>
          <w:color w:val=""/>
          <w:sz w:val="22"/>
        </w:rPr>
        <w:t xml:space="preserve">First, there is a need to maintain security in the impact area to ensure residents do not return before it is safe to do so and also to protect vulnerable property from the </w:t>
      </w:r>
      <w:r>
        <w:rPr>
          <w:rFonts w:ascii="" w:hAnsi="" w:cs="" w:eastAsia=""/>
          <w:b w:val="false"/>
          <w:i w:val="false"/>
          <w:strike w:val="false"/>
          <w:color w:val=""/>
          <w:sz w:val="22"/>
        </w:rPr>
        <w:t xml:space="preserve">threat of looting. Addressing these issues requires jurisdictions to develop procedures for residents’ reentry. Unfortunately, there is little research on ending evacuations to guide the planning process (Stallings, 1991), but there is anecdotal evidence of problems that have arisen after disasters. The available evidence indicates a need to provide for temporary reentry to remove essential items (e.g., clothing and medications) and permanent reentry for continuous habitation. In both cases, hazardous conditions must have abated sufficiently to allow people to enter safely. In some cases, hazard abatement might include the demolition of severely damaged buildings and the removal of heavy debris. In addition, proper identification listing a local address is needed to </w:t>
      </w:r>
      <w:r>
        <w:rPr>
          <w:rFonts w:ascii="" w:hAnsi="" w:cs="" w:eastAsia=""/>
          <w:b w:val="false"/>
          <w:i w:val="false"/>
          <w:strike w:val="false"/>
          <w:color w:val=""/>
          <w:sz w:val="22"/>
        </w:rPr>
        <w:t>en</w:t>
      </w:r>
      <w:r>
        <w:rPr>
          <w:rFonts w:ascii="" w:hAnsi="" w:cs="" w:eastAsia=""/>
          <w:b w:val="false"/>
          <w:i w:val="false"/>
          <w:strike w:val="false"/>
          <w:color w:val=""/>
          <w:sz w:val="22"/>
        </w:rPr>
        <w:t xml:space="preserve">sure only residents or authorized reconstruction personnel are allowed </w:t>
      </w:r>
      <w:r>
        <w:rPr>
          <w:rFonts w:ascii="" w:hAnsi="" w:cs="" w:eastAsia=""/>
          <w:b w:val="false"/>
          <w:i w:val="false"/>
          <w:strike w:val="false"/>
          <w:color w:val=""/>
          <w:sz w:val="22"/>
        </w:rPr>
        <w:t>to enter</w:t>
      </w:r>
      <w:r>
        <w:rPr>
          <w:rFonts w:ascii="" w:hAnsi="" w:cs="" w:eastAsia=""/>
          <w:b w:val="false"/>
          <w:i w:val="false"/>
          <w:strike w:val="false"/>
          <w:color w:val=""/>
          <w:sz w:val="22"/>
        </w:rPr>
        <w:t>. Finally, a jurisdiction must establish basic habitability criteria, such as the restoration of transportation and sewer systems. It is possible to allow people to return before electric power is available because some people have their own generators, but the criteria should be established ahead of time. If the disaster has had a regional impact, reentry should be coordinated with neighboring jurisdictions.</w:t>
      </w:r>
    </w:p>
    <w:p>
      <w:pPr>
        <w:pStyle w:val="BodyTextIndent2"/>
        <w:jc w:val="both"/>
      </w:pPr>
      <w:r>
        <w:rPr>
          <w:rFonts w:ascii="" w:hAnsi="" w:cs="" w:eastAsia=""/>
          <w:b w:val="false"/>
          <w:i w:val="true"/>
          <w:strike w:val="false"/>
          <w:color w:val=""/>
          <w:sz w:val="22"/>
        </w:rPr>
        <w:t>Temporary population shelter/housing</w:t>
      </w:r>
      <w:r>
        <w:rPr>
          <w:rFonts w:ascii="" w:hAnsi="" w:cs="" w:eastAsia=""/>
          <w:b w:val="false"/>
          <w:i w:val="false"/>
          <w:strike w:val="false"/>
          <w:color w:val=""/>
          <w:sz w:val="22"/>
        </w:rPr>
        <w:t>. As indicated in the discussion of households’ housing recovery, victims first find temporary shelter in the homes of friends and relatives, commercial facilities such hotels and motels, or mass care facilities such as auditoriums and gymnasiums. The evidence is clear that the majority of evacuees prefer the homes of friends and relatives. Among those whose friends and relatives are either too far away or are themselves victims, the more affluent choose commercial facilities and the poor—usually 10-25% of the evacuees—stay in mass care facilities (Mileti, et al., 1992).</w:t>
      </w:r>
    </w:p>
    <w:p>
      <w:pPr>
        <w:pStyle w:val=""/>
        <w:jc w:val="both"/>
      </w:pPr>
      <w:r>
        <w:rPr>
          <w:rFonts w:ascii="Times New Roman" w:hAnsi="Times New Roman" w:cs="Times New Roman" w:eastAsia="Times New Roman"/>
          <w:b w:val="false"/>
          <w:i w:val="false"/>
          <w:strike w:val="false"/>
          <w:color w:val=""/>
          <w:sz w:val="22"/>
        </w:rPr>
        <w:t xml:space="preserve">Mass care facilities must accommodate differences due to age (elderly and children), ethnicity, and physical limitations (e.g., mobility). </w:t>
      </w:r>
      <w:r>
        <w:rPr>
          <w:rFonts w:ascii="Times New Roman" w:hAnsi="Times New Roman" w:cs="Times New Roman" w:eastAsia="Times New Roman"/>
          <w:b w:val="false"/>
          <w:i w:val="false"/>
          <w:strike w:val="false"/>
          <w:color w:val=""/>
          <w:sz w:val="22"/>
        </w:rPr>
        <w:t>Such facilities</w:t>
      </w:r>
      <w:r>
        <w:rPr>
          <w:rFonts w:ascii="Times New Roman" w:hAnsi="Times New Roman" w:cs="Times New Roman" w:eastAsia="Times New Roman"/>
          <w:b w:val="false"/>
          <w:i w:val="false"/>
          <w:strike w:val="false"/>
          <w:color w:val=""/>
          <w:sz w:val="22"/>
        </w:rPr>
        <w:t xml:space="preserve"> make it difficult to accommodate household differences in such behaviors as personal sanitation, privacy, child rearing, and hours and loudness of social interaction. They also place increased demands on time for other tasks, which reduces time for child care, resulting in loss of control over children. Lack of personal space and privacy consistently generate ethnic and class tensions among those in mass shelters and closely spaced semiprivate shelters such as tents (Yelvington, 1997). Operation of mass care facilities can be especially complex after major disasters in urban areas. In such cases, there will be a need for a large contingent of local multilingual volunteers to assist in multiethnic communities and enough people to provide continued staffing for a long duration displacement. </w:t>
      </w:r>
      <w:r>
        <w:rPr>
          <w:rFonts w:ascii="Times New Roman" w:hAnsi="Times New Roman" w:cs="Times New Roman" w:eastAsia="Times New Roman"/>
          <w:b w:val="false"/>
          <w:i w:val="false"/>
          <w:strike w:val="false"/>
          <w:color w:val=""/>
          <w:sz w:val="22"/>
        </w:rPr>
        <w:t>Emergency managers can expect</w:t>
      </w:r>
      <w:r>
        <w:rPr>
          <w:rFonts w:ascii="Times New Roman" w:hAnsi="Times New Roman" w:cs="Times New Roman" w:eastAsia="Times New Roman"/>
          <w:b w:val="false"/>
          <w:i w:val="false"/>
          <w:strike w:val="false"/>
          <w:color w:val=""/>
          <w:sz w:val="22"/>
        </w:rPr>
        <w:t xml:space="preserve"> thousands of volunteers in first few weeks, but there are likely to be dramatic drops in volunteerism after the second week (Yelvington, 1997). Crowding and stress make it important to maintain transparency in making decisions about </w:t>
      </w:r>
      <w:r>
        <w:rPr>
          <w:rFonts w:ascii="Times New Roman" w:hAnsi="Times New Roman" w:cs="Times New Roman" w:eastAsia="Times New Roman"/>
          <w:b w:val="false"/>
          <w:i w:val="false"/>
          <w:strike w:val="false"/>
          <w:color w:val=""/>
          <w:sz w:val="22"/>
        </w:rPr>
        <w:t>facility</w:t>
      </w:r>
      <w:r>
        <w:rPr>
          <w:rFonts w:ascii="Times New Roman" w:hAnsi="Times New Roman" w:cs="Times New Roman" w:eastAsia="Times New Roman"/>
          <w:b w:val="false"/>
          <w:i w:val="false"/>
          <w:strike w:val="false"/>
          <w:color w:val=""/>
          <w:sz w:val="22"/>
        </w:rPr>
        <w:t xml:space="preserve"> operation and to establish procedures for coping with predisaster homeless, construction workers, and others who do not qualify for shelter and housing (Bolin, 1993).</w:t>
      </w:r>
    </w:p>
    <w:p>
      <w:pPr>
        <w:pStyle w:val="BodyTextIndent2"/>
        <w:jc w:val="both"/>
      </w:pPr>
      <w:r>
        <w:rPr>
          <w:rFonts w:ascii="" w:hAnsi="" w:cs="" w:eastAsia=""/>
          <w:b w:val="false"/>
          <w:i w:val="false"/>
          <w:strike w:val="false"/>
          <w:color w:val=""/>
          <w:sz w:val="22"/>
        </w:rPr>
        <w:t>The incentives for</w:t>
      </w:r>
      <w:r>
        <w:rPr>
          <w:rFonts w:ascii="" w:hAnsi="" w:cs="" w:eastAsia=""/>
          <w:b w:val="false"/>
          <w:i w:val="false"/>
          <w:strike w:val="false"/>
          <w:color w:val=""/>
          <w:sz w:val="22"/>
        </w:rPr>
        <w:t xml:space="preserve"> mov</w:t>
      </w:r>
      <w:r>
        <w:rPr>
          <w:rFonts w:ascii="" w:hAnsi="" w:cs="" w:eastAsia=""/>
          <w:b w:val="false"/>
          <w:i w:val="false"/>
          <w:strike w:val="false"/>
          <w:color w:val=""/>
          <w:sz w:val="22"/>
        </w:rPr>
        <w:t>ing</w:t>
      </w:r>
      <w:r>
        <w:rPr>
          <w:rFonts w:ascii="" w:hAnsi="" w:cs="" w:eastAsia=""/>
          <w:b w:val="false"/>
          <w:i w:val="false"/>
          <w:strike w:val="false"/>
          <w:color w:val=""/>
          <w:sz w:val="22"/>
        </w:rPr>
        <w:t xml:space="preserve"> from temporary shelter to temporary housing </w:t>
      </w:r>
      <w:r>
        <w:rPr>
          <w:rFonts w:ascii="" w:hAnsi="" w:cs="" w:eastAsia=""/>
          <w:b w:val="false"/>
          <w:i w:val="false"/>
          <w:strike w:val="false"/>
          <w:color w:val=""/>
          <w:sz w:val="22"/>
        </w:rPr>
        <w:t>should be</w:t>
      </w:r>
      <w:r>
        <w:rPr>
          <w:rFonts w:ascii="" w:hAnsi="" w:cs="" w:eastAsia=""/>
          <w:b w:val="false"/>
          <w:i w:val="false"/>
          <w:strike w:val="false"/>
          <w:color w:val=""/>
          <w:sz w:val="22"/>
        </w:rPr>
        <w:t xml:space="preserve"> obvious. “Doubling up” </w:t>
      </w:r>
      <w:r>
        <w:rPr>
          <w:rFonts w:ascii="" w:hAnsi="" w:cs="" w:eastAsia=""/>
          <w:b w:val="false"/>
          <w:i w:val="false"/>
          <w:strike w:val="false"/>
          <w:color w:val=""/>
          <w:sz w:val="22"/>
        </w:rPr>
        <w:t xml:space="preserve">with friends and relatives </w:t>
      </w:r>
      <w:r>
        <w:rPr>
          <w:rFonts w:ascii="" w:hAnsi="" w:cs="" w:eastAsia=""/>
          <w:b w:val="false"/>
          <w:i w:val="false"/>
          <w:strike w:val="false"/>
          <w:color w:val=""/>
          <w:sz w:val="22"/>
        </w:rPr>
        <w:t xml:space="preserve">eventually causes friction in interpersonal relationships, commercial facilities are a drain on family finances, and mass care facilities are crowded, noisy, and lack the privacy to which people are accustomed. When the number of displaced households is less than the vacancy rate for affordable housing within commuting time of jobs, the existing housing market can accommodate the relocation. To the degree that there are few vacancies, the rental rates are high, or the commuting time is excessive (either because of the travel distance or because crowded routes decrease average driving speed), government is likely to be called upon to increase the stock of temporary housing by bringing in mobile homes. </w:t>
      </w:r>
    </w:p>
    <w:p>
      <w:pPr>
        <w:pStyle w:val="BodyTextIndent2"/>
        <w:jc w:val="both"/>
      </w:pPr>
      <w:r>
        <w:rPr>
          <w:rFonts w:ascii="" w:hAnsi="" w:cs="" w:eastAsia=""/>
          <w:b w:val="false"/>
          <w:i w:val="false"/>
          <w:strike w:val="false"/>
          <w:color w:val=""/>
          <w:sz w:val="22"/>
        </w:rPr>
        <w:t xml:space="preserve">The ROP should recognize that the need for temporary housing increases in importance as the size of the socially vulnerable population increases, especially when there is a limited amount of affordable </w:t>
      </w:r>
      <w:r>
        <w:rPr>
          <w:rFonts w:ascii="" w:hAnsi="" w:cs="" w:eastAsia=""/>
          <w:b w:val="false"/>
          <w:i w:val="false"/>
          <w:strike w:val="false"/>
          <w:color w:val=""/>
          <w:sz w:val="22"/>
        </w:rPr>
        <w:t xml:space="preserve">housing outside the impact area. The number of displaced households will be compounded by those evicted from undamaged homes because they lost their jobs and could not make rental or mortgage payments. In a major urban area </w:t>
      </w:r>
      <w:r>
        <w:rPr>
          <w:rFonts w:ascii="" w:hAnsi="" w:cs="" w:eastAsia=""/>
          <w:b w:val="false"/>
          <w:i w:val="false"/>
          <w:strike w:val="false"/>
          <w:color w:val=""/>
          <w:sz w:val="22"/>
        </w:rPr>
        <w:t>struck by a</w:t>
      </w:r>
      <w:r>
        <w:rPr>
          <w:rFonts w:ascii="" w:hAnsi="" w:cs="" w:eastAsia=""/>
          <w:b w:val="false"/>
          <w:i w:val="false"/>
          <w:strike w:val="false"/>
          <w:color w:val=""/>
          <w:sz w:val="22"/>
        </w:rPr>
        <w:t xml:space="preserve"> large scope disaster, this could be thousands of mobile homes. Where will these be located—on victims’ lots (utilities already installed, maintains neighborhood integrity, allows supervision of reconstruction) or in mobile home parks? If trailer parks are established, local officials should try to reduce social friction by locating people within kin and friendship networks to the greatest extent possible. </w:t>
      </w:r>
    </w:p>
    <w:p>
      <w:pPr>
        <w:pStyle w:val="BodyTextIndent2"/>
        <w:jc w:val="both"/>
      </w:pPr>
      <w:r>
        <w:rPr>
          <w:rFonts w:ascii="" w:hAnsi="" w:cs="" w:eastAsia=""/>
          <w:b w:val="false"/>
          <w:i w:val="true"/>
          <w:strike w:val="false"/>
          <w:color w:val=""/>
          <w:sz w:val="22"/>
        </w:rPr>
        <w:t>Temporary business operation</w:t>
      </w:r>
      <w:r>
        <w:rPr>
          <w:rFonts w:ascii="" w:hAnsi="" w:cs="" w:eastAsia=""/>
          <w:b w:val="false"/>
          <w:i w:val="false"/>
          <w:strike w:val="false"/>
          <w:color w:val=""/>
          <w:sz w:val="22"/>
        </w:rPr>
        <w:t>. Just as households need temporary housing, so too do businesses need temporary operating locations when their normal locations have been severely damaged or destroyed. Many small businesses have customers who are loyal enough to travel an extra distance, but loyalty does have its limits. Consequently, government might need to permit the establishment of temporary business operations in parking lots or other open space</w:t>
      </w:r>
      <w:r>
        <w:rPr>
          <w:rFonts w:ascii="" w:hAnsi="" w:cs="" w:eastAsia=""/>
          <w:b w:val="false"/>
          <w:i w:val="false"/>
          <w:strike w:val="false"/>
          <w:color w:val=""/>
          <w:sz w:val="22"/>
        </w:rPr>
        <w:t>s</w:t>
      </w:r>
      <w:r>
        <w:rPr>
          <w:rFonts w:ascii="" w:hAnsi="" w:cs="" w:eastAsia=""/>
          <w:b w:val="false"/>
          <w:i w:val="false"/>
          <w:strike w:val="false"/>
          <w:color w:val=""/>
          <w:sz w:val="22"/>
        </w:rPr>
        <w:t xml:space="preserve"> that </w:t>
      </w:r>
      <w:r>
        <w:rPr>
          <w:rFonts w:ascii="" w:hAnsi="" w:cs="" w:eastAsia=""/>
          <w:b w:val="false"/>
          <w:i w:val="false"/>
          <w:strike w:val="false"/>
          <w:color w:val=""/>
          <w:sz w:val="22"/>
        </w:rPr>
        <w:t>are</w:t>
      </w:r>
      <w:r>
        <w:rPr>
          <w:rFonts w:ascii="" w:hAnsi="" w:cs="" w:eastAsia=""/>
          <w:b w:val="false"/>
          <w:i w:val="false"/>
          <w:strike w:val="false"/>
          <w:color w:val=""/>
          <w:sz w:val="22"/>
        </w:rPr>
        <w:t xml:space="preserve"> close to the displaced businesses’ normal locations. The ROP should also identify sites for temporary housing and temporary business operations, which may be needed for as much as a year (and even longer in some cases).</w:t>
      </w:r>
    </w:p>
    <w:p>
      <w:pPr>
        <w:pStyle w:val="BodyTextIndent2"/>
        <w:jc w:val="both"/>
      </w:pPr>
      <w:r>
        <w:rPr>
          <w:rFonts w:ascii="" w:hAnsi="" w:cs="" w:eastAsia=""/>
          <w:b w:val="false"/>
          <w:i w:val="true"/>
          <w:strike w:val="false"/>
          <w:color w:val=""/>
          <w:sz w:val="22"/>
        </w:rPr>
        <w:t>Infrastructure restoration</w:t>
      </w:r>
      <w:r>
        <w:rPr>
          <w:rFonts w:ascii="" w:hAnsi="" w:cs="" w:eastAsia=""/>
          <w:b w:val="false"/>
          <w:i w:val="false"/>
          <w:strike w:val="false"/>
          <w:color w:val=""/>
          <w:sz w:val="22"/>
        </w:rPr>
        <w:t xml:space="preserve">. There are often many households and businesses that cannot resume normal functioning simply because of the lack of potable water, sewer, electric power, fuel, telecommunications, or transportation—not because of damage to their homes or places of business. Consequently, there is a need to inspect and repair any damage to pipelines </w:t>
      </w:r>
      <w:r>
        <w:rPr>
          <w:rFonts w:ascii="" w:hAnsi="" w:cs="" w:eastAsia=""/>
          <w:b w:val="false"/>
          <w:i w:val="false"/>
          <w:strike w:val="false"/>
          <w:color w:val=""/>
          <w:sz w:val="22"/>
        </w:rPr>
        <w:t>and</w:t>
      </w:r>
      <w:r>
        <w:rPr>
          <w:rFonts w:ascii="" w:hAnsi="" w:cs="" w:eastAsia=""/>
          <w:b w:val="false"/>
          <w:i w:val="false"/>
          <w:strike w:val="false"/>
          <w:color w:val=""/>
          <w:sz w:val="22"/>
        </w:rPr>
        <w:t xml:space="preserve"> power lines, as well as streets, bridges, street signs, and street lights. In addition to returning these households and businesses to normal functioning, restoration of infrastructure to these areas also provides places where emergency workers and construction crews can live while they are rebuilding the structures that have been damaged or destroyed. </w:t>
      </w:r>
      <w:r>
        <w:rPr>
          <w:rFonts w:ascii="" w:hAnsi="" w:cs="" w:eastAsia=""/>
          <w:b w:val="false"/>
          <w:i w:val="false"/>
          <w:strike w:val="false"/>
          <w:color w:val=""/>
          <w:sz w:val="22"/>
        </w:rPr>
        <w:t>On the other hand, g</w:t>
      </w:r>
      <w:r>
        <w:rPr>
          <w:rFonts w:ascii="" w:hAnsi="" w:cs="" w:eastAsia=""/>
          <w:b w:val="false"/>
          <w:i w:val="false"/>
          <w:strike w:val="false"/>
          <w:color w:val=""/>
          <w:sz w:val="22"/>
        </w:rPr>
        <w:t xml:space="preserve">enerating a rapid economic recovery might suggest a different set of priorities—emphasizing the restoration of infrastructure for the area’s dominant export industries. </w:t>
      </w:r>
      <w:r>
        <w:rPr>
          <w:rFonts w:ascii="" w:hAnsi="" w:cs="" w:eastAsia=""/>
          <w:b w:val="false"/>
          <w:i w:val="false"/>
          <w:strike w:val="false"/>
          <w:color w:val=""/>
          <w:sz w:val="22"/>
        </w:rPr>
        <w:t>Thus</w:t>
      </w:r>
      <w:r>
        <w:rPr>
          <w:rFonts w:ascii="" w:hAnsi="" w:cs="" w:eastAsia=""/>
          <w:b w:val="false"/>
          <w:i w:val="false"/>
          <w:strike w:val="false"/>
          <w:color w:val=""/>
          <w:sz w:val="22"/>
        </w:rPr>
        <w:t xml:space="preserve">, there are likely to be conflicting priorities and few easy decisions. </w:t>
      </w:r>
      <w:r>
        <w:rPr>
          <w:rFonts w:ascii="" w:hAnsi="" w:cs="" w:eastAsia=""/>
          <w:b w:val="false"/>
          <w:i w:val="false"/>
          <w:strike w:val="false"/>
          <w:color w:val=""/>
          <w:sz w:val="22"/>
        </w:rPr>
        <w:t>Consequently</w:t>
      </w:r>
      <w:r>
        <w:rPr>
          <w:rFonts w:ascii="" w:hAnsi="" w:cs="" w:eastAsia=""/>
          <w:b w:val="false"/>
          <w:i w:val="false"/>
          <w:strike w:val="false"/>
          <w:color w:val=""/>
          <w:sz w:val="22"/>
        </w:rPr>
        <w:t>, priorities must be established in the preimpact recovery plan</w:t>
      </w:r>
      <w:r>
        <w:rPr>
          <w:rFonts w:ascii="" w:hAnsi="" w:cs="" w:eastAsia=""/>
          <w:b w:val="false"/>
          <w:i w:val="false"/>
          <w:strike w:val="false"/>
          <w:color w:val=""/>
          <w:sz w:val="22"/>
        </w:rPr>
        <w:t xml:space="preserve"> with</w:t>
      </w:r>
      <w:r>
        <w:rPr>
          <w:rFonts w:ascii="" w:hAnsi="" w:cs="" w:eastAsia=""/>
          <w:b w:val="false"/>
          <w:i w:val="false"/>
          <w:strike w:val="false"/>
          <w:color w:val=""/>
          <w:sz w:val="22"/>
        </w:rPr>
        <w:t xml:space="preserve"> links to the damage assessment procedures that allow the recovery managers to adapt the predetermined infrastructure restoration priorities to the needs of each specific situation.</w:t>
      </w:r>
    </w:p>
    <w:p>
      <w:pPr>
        <w:pStyle w:val="BodyTextIndent2"/>
        <w:jc w:val="both"/>
      </w:pPr>
      <w:r>
        <w:rPr>
          <w:rFonts w:ascii="" w:hAnsi="" w:cs="" w:eastAsia=""/>
          <w:b w:val="false"/>
          <w:i w:val="true"/>
          <w:strike w:val="false"/>
          <w:color w:val=""/>
          <w:sz w:val="22"/>
        </w:rPr>
        <w:t>Critical facility operation</w:t>
      </w:r>
      <w:r>
        <w:rPr>
          <w:rFonts w:ascii="" w:hAnsi="" w:cs="" w:eastAsia=""/>
          <w:b w:val="false"/>
          <w:i w:val="false"/>
          <w:strike w:val="false"/>
          <w:color w:val=""/>
          <w:sz w:val="22"/>
        </w:rPr>
        <w:t>. It should be quite obvious that there will be a need to quickly repair critical facilities such as hospitals, police stations, and fire stations. However, a community’s public infrastructure is also served by other critical facilities such as water treatment plants, transit bus barns, public works equipment yards, and government offices. There is also privately operated infrastructure that includes electric power stations, television and radio facilities (both stations and broadcast towers), and telephone switching facilities. An inventory of these facilities should be available from the hazard/vulnerability analysis.</w:t>
      </w:r>
    </w:p>
    <w:p>
      <w:pPr>
        <w:pStyle w:val="BodyTextIndent2"/>
        <w:jc w:val="both"/>
      </w:pPr>
      <w:r>
        <w:rPr>
          <w:rFonts w:ascii="" w:hAnsi="" w:cs="" w:eastAsia=""/>
          <w:b w:val="false"/>
          <w:i w:val="true"/>
          <w:strike w:val="false"/>
          <w:color w:val=""/>
          <w:sz w:val="22"/>
        </w:rPr>
        <w:t>Debris management</w:t>
      </w:r>
      <w:r>
        <w:rPr>
          <w:rFonts w:ascii="" w:hAnsi="" w:cs="" w:eastAsia=""/>
          <w:b w:val="false"/>
          <w:i w:val="false"/>
          <w:strike w:val="false"/>
          <w:color w:val=""/>
          <w:sz w:val="22"/>
        </w:rPr>
        <w:t xml:space="preserve">. Most of the natural disasters, and explosions among the technological disasters, can destroy </w:t>
      </w:r>
      <w:r>
        <w:rPr>
          <w:rFonts w:ascii="" w:hAnsi="" w:cs="" w:eastAsia=""/>
          <w:b w:val="false"/>
          <w:i w:val="false"/>
          <w:strike w:val="false"/>
          <w:color w:val=""/>
          <w:sz w:val="22"/>
        </w:rPr>
        <w:t xml:space="preserve">a </w:t>
      </w:r>
      <w:r>
        <w:rPr>
          <w:rFonts w:ascii="" w:hAnsi="" w:cs="" w:eastAsia=""/>
          <w:b w:val="false"/>
          <w:i w:val="false"/>
          <w:strike w:val="false"/>
          <w:color w:val=""/>
          <w:sz w:val="22"/>
        </w:rPr>
        <w:t xml:space="preserve">substantial number of structures. In turn, this can produce an enormous amount of debris that must be removed. Debris management should designate temporary sites for sorting recyclable from nonrecyclable materials, with the latter being moved to permanent sites for disposal. Debris management is complicated in situations where evidence must be gathered in a systematic manner as in investigations of accidents (e.g., National Transportation Safety Board investigations of airline crashes or train derailments) or when the site is be considered a possible crime scene (e.g., the bombing of the Murrah Federal building Oklahoma City). In such cases, debris removal is likely to be delayed, so temporary sorting sites will be needed to separate out material evidence from useless debris. Ultimately, a catastrophic event </w:t>
      </w:r>
      <w:r>
        <w:rPr>
          <w:rFonts w:ascii="" w:hAnsi="" w:cs="" w:eastAsia=""/>
          <w:b w:val="false"/>
          <w:i w:val="false"/>
          <w:strike w:val="false"/>
          <w:color w:val=""/>
          <w:sz w:val="22"/>
        </w:rPr>
        <w:t xml:space="preserve">such as the </w:t>
      </w:r>
      <w:r>
        <w:rPr>
          <w:rFonts w:ascii="" w:hAnsi="" w:cs="" w:eastAsia=""/>
          <w:b w:val="false"/>
          <w:i w:val="false"/>
          <w:strike w:val="false"/>
          <w:color w:val=""/>
          <w:sz w:val="22"/>
        </w:rPr>
        <w:t>World</w:t>
      </w:r>
      <w:r>
        <w:rPr>
          <w:rFonts w:ascii="" w:hAnsi="" w:cs="" w:eastAsia=""/>
          <w:b w:val="false"/>
          <w:i w:val="false"/>
          <w:strike w:val="false"/>
          <w:color w:val=""/>
          <w:sz w:val="22"/>
        </w:rPr>
        <w:t xml:space="preserve"> </w:t>
      </w:r>
      <w:r>
        <w:rPr>
          <w:rFonts w:ascii="" w:hAnsi="" w:cs="" w:eastAsia=""/>
          <w:b w:val="false"/>
          <w:i w:val="false"/>
          <w:strike w:val="false"/>
          <w:color w:val=""/>
          <w:sz w:val="22"/>
        </w:rPr>
        <w:t>Trade</w:t>
      </w:r>
      <w:r>
        <w:rPr>
          <w:rFonts w:ascii="" w:hAnsi="" w:cs="" w:eastAsia=""/>
          <w:b w:val="false"/>
          <w:i w:val="false"/>
          <w:strike w:val="false"/>
          <w:color w:val=""/>
          <w:sz w:val="22"/>
        </w:rPr>
        <w:t xml:space="preserve"> </w:t>
      </w:r>
      <w:r>
        <w:rPr>
          <w:rFonts w:ascii="" w:hAnsi="" w:cs="" w:eastAsia=""/>
          <w:b w:val="false"/>
          <w:i w:val="false"/>
          <w:strike w:val="false"/>
          <w:color w:val=""/>
          <w:sz w:val="22"/>
        </w:rPr>
        <w:t>Center</w:t>
      </w:r>
      <w:r>
        <w:rPr>
          <w:rFonts w:ascii="" w:hAnsi="" w:cs="" w:eastAsia=""/>
          <w:b w:val="false"/>
          <w:i w:val="false"/>
          <w:strike w:val="false"/>
          <w:color w:val=""/>
          <w:sz w:val="22"/>
        </w:rPr>
        <w:t xml:space="preserve"> collapse or Hurricane Katrina can produce millions of tons of debris that can overwhelm landfill capacity.</w:t>
      </w:r>
    </w:p>
    <w:p>
      <w:pPr>
        <w:pStyle w:val="BodyTextIndent2"/>
        <w:jc w:val="both"/>
      </w:pPr>
      <w:r>
        <w:rPr>
          <w:rFonts w:ascii="" w:hAnsi="" w:cs="" w:eastAsia=""/>
          <w:b w:val="false"/>
          <w:i w:val="true"/>
          <w:strike w:val="false"/>
          <w:color w:val=""/>
          <w:sz w:val="22"/>
        </w:rPr>
        <w:t>Emergency demolition</w:t>
      </w:r>
      <w:r>
        <w:rPr>
          <w:rFonts w:ascii="" w:hAnsi="" w:cs="" w:eastAsia=""/>
          <w:b w:val="false"/>
          <w:i w:val="false"/>
          <w:strike w:val="false"/>
          <w:color w:val=""/>
          <w:sz w:val="22"/>
        </w:rPr>
        <w:t xml:space="preserve">. It is likely that some structures will be damaged severely enough to pose a threat of collapse, so procedures are needed to rapidly assess their stability and determine if they should be reinforced and rebuilt or demolished. This assessment clearly requires competent structural engineering assistance, but historic preservationists should also be consulted if the building has cultural significance (Donaldson, 1998). Indeed, historic structures should be surveyed and inventoried before disaster strikes and postimpact damage assessment procedures should be developed to avoid unnecessary demolition of damaged historic structures (Kariotis, 1998; Kimmelman, 1998). The ROP should establish policies that include criteria for emergency demolition of severely damaged structures </w:t>
      </w:r>
      <w:r>
        <w:rPr>
          <w:rFonts w:ascii="" w:hAnsi="" w:cs="" w:eastAsia=""/>
          <w:b w:val="false"/>
          <w:i w:val="false"/>
          <w:strike w:val="false"/>
          <w:color w:val=""/>
          <w:sz w:val="22"/>
        </w:rPr>
        <w:t xml:space="preserve">and </w:t>
      </w:r>
      <w:r>
        <w:rPr>
          <w:rFonts w:ascii="" w:hAnsi="" w:cs="" w:eastAsia=""/>
          <w:b w:val="false"/>
          <w:i w:val="false"/>
          <w:strike w:val="false"/>
          <w:color w:val=""/>
          <w:sz w:val="22"/>
        </w:rPr>
        <w:t xml:space="preserve">adequate notification for owners who might have evacuated. In addition, the implementing procedures should contain samples of the contracts to be signed with demolition companies. These contracts require the involvement of the jurisdiction’s legal counsel to </w:t>
      </w:r>
      <w:r>
        <w:rPr>
          <w:rFonts w:ascii="" w:hAnsi="" w:cs="" w:eastAsia=""/>
          <w:b w:val="false"/>
          <w:i w:val="false"/>
          <w:strike w:val="false"/>
          <w:color w:val=""/>
          <w:sz w:val="22"/>
        </w:rPr>
        <w:t>en</w:t>
      </w:r>
      <w:r>
        <w:rPr>
          <w:rFonts w:ascii="" w:hAnsi="" w:cs="" w:eastAsia=""/>
          <w:b w:val="false"/>
          <w:i w:val="false"/>
          <w:strike w:val="false"/>
          <w:color w:val=""/>
          <w:sz w:val="22"/>
        </w:rPr>
        <w:t xml:space="preserve">sure the administrative process respects personal property rights. </w:t>
      </w:r>
    </w:p>
    <w:p>
      <w:pPr>
        <w:pStyle w:val="BodyTextIndent2"/>
        <w:jc w:val="both"/>
      </w:pPr>
      <w:r>
        <w:rPr>
          <w:rFonts w:ascii="" w:hAnsi="" w:cs="" w:eastAsia=""/>
          <w:b w:val="false"/>
          <w:i w:val="true"/>
          <w:strike w:val="false"/>
          <w:color w:val=""/>
          <w:sz w:val="22"/>
        </w:rPr>
        <w:t>Repair permitting</w:t>
      </w:r>
      <w:r>
        <w:rPr>
          <w:rFonts w:ascii="" w:hAnsi="" w:cs="" w:eastAsia=""/>
          <w:b w:val="false"/>
          <w:i w:val="false"/>
          <w:strike w:val="false"/>
          <w:color w:val=""/>
          <w:sz w:val="22"/>
        </w:rPr>
        <w:t xml:space="preserve">. The ROP should contain criteria for determining which structures will be eligible for reoccupancy based upon the percent damage to the different elements of the building—foundation, wall, and roof systems, exterior walls, interior walls, floors and flooring materials, plumbing, electrical systems, HVAC systems. The large number of requests for building repair permits following a disaster can overwhelm a local code enforcement department (Schwab, et al., 1998). In preparation for this eventuality, the permit office staff should be augmented with staff from other jurisdictions and the private sector as needed. In addition, the ROP should establish an emergency permitting process that includes 10 day moratorium on minor repairs and a 30 day moratorium on permits for substantial repairs involving 50% or more of the preimpact property assessment. This allows time for the city to acquire enough staff to evaluate the properties and areas involved and establish policies for improving the building stock as needed. Of course, exemptions may be needed for reconstruction of critical facilities. The process should be streamlined as much as possible by, for example, placing permit staff in a DAC. The streamlined process should be continued for a limited time period, often 90 days after impact, that has been defined in the ROP. Local jurisdictions should consider deferring application fees during this period.  </w:t>
      </w:r>
    </w:p>
    <w:p>
      <w:pPr>
        <w:pStyle w:val="BodyTextIndent2"/>
        <w:jc w:val="both"/>
      </w:pPr>
      <w:r>
        <w:rPr>
          <w:rFonts w:ascii="" w:hAnsi="" w:cs="" w:eastAsia=""/>
          <w:b w:val="false"/>
          <w:i w:val="false"/>
          <w:strike w:val="false"/>
          <w:color w:val=""/>
          <w:sz w:val="22"/>
        </w:rPr>
        <w:t>ROPs for urban areas should anticipate the possibility of developers purchasing many damaged single family residences in the expectation of replacing them with apartment buildings. To avoid this problem, one city established a five month moratorium on applications for construction of new apartments. It also established restrictions on new buildings to ensure a Design Review Board could exclude building designs that were incompatible with the character of the neighborhoods in which they were to be constructed.</w:t>
      </w:r>
    </w:p>
    <w:p>
      <w:pPr>
        <w:pStyle w:val="BodyTextIndent2"/>
        <w:jc w:val="both"/>
      </w:pPr>
      <w:r>
        <w:rPr>
          <w:rFonts w:ascii="" w:hAnsi="" w:cs="" w:eastAsia=""/>
          <w:b w:val="false"/>
          <w:i w:val="true"/>
          <w:strike w:val="false"/>
          <w:color w:val=""/>
          <w:sz w:val="22"/>
        </w:rPr>
        <w:t>Donations management</w:t>
      </w:r>
      <w:r>
        <w:rPr>
          <w:rFonts w:ascii="" w:hAnsi="" w:cs="" w:eastAsia=""/>
          <w:b w:val="false"/>
          <w:i w:val="false"/>
          <w:strike w:val="false"/>
          <w:color w:val=""/>
          <w:sz w:val="22"/>
        </w:rPr>
        <w:t xml:space="preserve">. Major disasters frequently produce an outpouring of material (rather than financial) assistance from households and businesses outside the impact area. There is usually a substantial amount of useful material in these donations, but there also is a substantial amount of junk. Dynes (1970) and others have listed donations such as women’s formal gowns, parkas (after summer disasters in the South), outdated medicines, and other items that impede the recovery by diverting personnel to the task of sorting through the donations. Even useful items must be sorted. For example, donated clothing must be sorted by category, gender appropriateness, and size. It is common for victims to reject food donations because these items are incompatible with local tastes and to refuse specific types of temporary housing because the buildings are incompatible with local cultural preferences or climatic conditions. Another problem with donations is that an influx of useful material resources precludes the need to buy from local </w:t>
      </w:r>
      <w:r>
        <w:rPr>
          <w:rFonts w:ascii="" w:hAnsi="" w:cs="" w:eastAsia=""/>
          <w:b w:val="false"/>
          <w:i w:val="false"/>
          <w:strike w:val="false"/>
          <w:color w:val=""/>
          <w:sz w:val="22"/>
        </w:rPr>
        <w:t xml:space="preserve">businesses, thus threatening their revenues. Thus, in most cases, financial donations are preferable to material donations. Since material donations will inevitably arrive, local emergency managers need procedures to manage them. One important component of a donations management procedure is to establish a staging area outside the impact area where incoming donations can be received, sorted, and prepared for delivery to locations where they will be made available to disaster victims. </w:t>
      </w:r>
    </w:p>
    <w:p>
      <w:pPr>
        <w:pStyle w:val="BodyTextIndent2"/>
        <w:jc w:val="both"/>
      </w:pPr>
      <w:r>
        <w:rPr>
          <w:rFonts w:ascii="" w:hAnsi="" w:cs="" w:eastAsia=""/>
          <w:b w:val="false"/>
          <w:i w:val="true"/>
          <w:strike w:val="false"/>
          <w:color w:val=""/>
          <w:sz w:val="22"/>
        </w:rPr>
        <w:t>Disaster assistance</w:t>
      </w:r>
      <w:r>
        <w:rPr>
          <w:rFonts w:ascii="" w:hAnsi="" w:cs="" w:eastAsia=""/>
          <w:b w:val="false"/>
          <w:i w:val="false"/>
          <w:strike w:val="false"/>
          <w:color w:val=""/>
          <w:sz w:val="22"/>
        </w:rPr>
        <w:t>. Under normal circumstances, people rarely need to visit government agencies</w:t>
      </w:r>
      <w:r>
        <w:rPr>
          <w:rFonts w:ascii="" w:hAnsi="" w:cs="" w:eastAsia=""/>
          <w:b w:val="false"/>
          <w:i w:val="false"/>
          <w:strike w:val="false"/>
          <w:color w:val=""/>
          <w:sz w:val="22"/>
        </w:rPr>
        <w:t>. Moreover</w:t>
      </w:r>
      <w:r>
        <w:rPr>
          <w:rFonts w:ascii="" w:hAnsi="" w:cs="" w:eastAsia=""/>
          <w:b w:val="false"/>
          <w:i w:val="false"/>
          <w:strike w:val="false"/>
          <w:color w:val=""/>
          <w:sz w:val="22"/>
        </w:rPr>
        <w:t xml:space="preserve">, when they do make these visits, </w:t>
      </w:r>
      <w:r>
        <w:rPr>
          <w:rFonts w:ascii="" w:hAnsi="" w:cs="" w:eastAsia=""/>
          <w:b w:val="false"/>
          <w:i w:val="false"/>
          <w:strike w:val="false"/>
          <w:color w:val=""/>
          <w:sz w:val="22"/>
        </w:rPr>
        <w:t xml:space="preserve">they </w:t>
      </w:r>
      <w:r>
        <w:rPr>
          <w:rFonts w:ascii="" w:hAnsi="" w:cs="" w:eastAsia=""/>
          <w:b w:val="false"/>
          <w:i w:val="false"/>
          <w:strike w:val="false"/>
          <w:color w:val=""/>
          <w:sz w:val="22"/>
        </w:rPr>
        <w:t xml:space="preserve">only need to visit one agency. During disaster recovery, however, people often need to contact multiple agencies within a short period of time. Moreover, the large number of other people attempting to visit each of those agencies and the small number of staff available to process the contacts results in long lines. In some disasters, these problems have been compounded by the periodic movement of agencies field offices from one location to another during the course of the disaster recovery. Consequently, it is important for local emergency managers to provide “one-stop shopping” so victims can resolve all of their needs at a single location that is maintained throughout the </w:t>
      </w:r>
      <w:r>
        <w:rPr>
          <w:rFonts w:ascii="" w:hAnsi="" w:cs="" w:eastAsia=""/>
          <w:b w:val="false"/>
          <w:i w:val="false"/>
          <w:strike w:val="false"/>
          <w:color w:val=""/>
          <w:sz w:val="22"/>
        </w:rPr>
        <w:t>short term</w:t>
      </w:r>
      <w:r>
        <w:rPr>
          <w:rFonts w:ascii="" w:hAnsi="" w:cs="" w:eastAsia=""/>
          <w:b w:val="false"/>
          <w:i w:val="false"/>
          <w:strike w:val="false"/>
          <w:color w:val=""/>
          <w:sz w:val="22"/>
        </w:rPr>
        <w:t xml:space="preserve"> recovery period. It is also important that the location be readily accessible by public transportation and that additional staff be recruited and trained to minimize victims’ processing delays. The ROP should also designate DAC sites that are capable of housing financial aid assistance (including grants, loans, and tax deductions/deferrals), in-kind assistance (food, clothes, bedding), and legal and technical assistance. The ROP should identify primary and augmentation staff for all of these sites, including the donations management, debris sorting, debris disposal sites, and the DACs.</w:t>
      </w:r>
    </w:p>
    <w:p>
      <w:pPr>
        <w:pStyle w:val="BodyTextIndent2"/>
        <w:jc w:val="both"/>
      </w:pPr>
      <w:r>
        <w:rPr>
          <w:rFonts w:ascii="" w:hAnsi="" w:cs="" w:eastAsia=""/>
          <w:b w:val="false"/>
          <w:i w:val="true"/>
          <w:strike w:val="false"/>
          <w:color w:val=""/>
          <w:sz w:val="22"/>
        </w:rPr>
        <w:t>Long Term Reconstruction</w:t>
      </w:r>
    </w:p>
    <w:p>
      <w:pPr>
        <w:pStyle w:val=""/>
        <w:jc w:val="both"/>
      </w:pPr>
      <w:r>
        <w:rPr>
          <w:rFonts w:ascii="Times New Roman" w:hAnsi="Times New Roman" w:cs="Times New Roman" w:eastAsia="Times New Roman"/>
          <w:b w:val="false"/>
          <w:i w:val="false"/>
          <w:strike w:val="false"/>
          <w:color w:val=""/>
          <w:sz w:val="22"/>
        </w:rPr>
        <w:t>As Chapter 3 indicated, a disaster usually opens a window of opportunity for changes in environmental hazard management policy (Prater &amp; Lindell, 2000). If the Recovery/Mitigation Committee has “done its homework”, it will already have assessed the community’s hazard exposure, physical vulnerability, and social vulnerability. In addition, it will be well prepared with suggestions for ways in which to reduce future risks by integrating hazard mitigation into disaster recovery (Schwab, et al., 1998; Wu &amp; Lindell, 2004). Finally, the committee should identify sources of funding for the mitigation projects they propose.</w:t>
      </w:r>
    </w:p>
    <w:p>
      <w:pPr>
        <w:pStyle w:val="BodyTextIndent2"/>
        <w:jc w:val="both"/>
      </w:pPr>
      <w:r>
        <w:rPr>
          <w:rFonts w:ascii="" w:hAnsi="" w:cs="" w:eastAsia=""/>
          <w:b w:val="false"/>
          <w:i w:val="true"/>
          <w:strike w:val="false"/>
          <w:color w:val=""/>
          <w:sz w:val="22"/>
        </w:rPr>
        <w:t>Hazard source control and area protection</w:t>
      </w:r>
      <w:r>
        <w:rPr>
          <w:rFonts w:ascii="" w:hAnsi="" w:cs="" w:eastAsia=""/>
          <w:b w:val="false"/>
          <w:i w:val="false"/>
          <w:strike w:val="false"/>
          <w:color w:val=""/>
          <w:sz w:val="22"/>
        </w:rPr>
        <w:t xml:space="preserve">. The Recovery/Mitigation Committee should have begun to examine the prospects for hazard source control and area protection before a disaster strikes and continue this effort in the immediate aftermath. As indicated in Chapter 7, these mitigation strategies are not feasible for some hazards. The committee should anticipate induced growth in the protected area if hazard source control or area protection measures are implemented. However, linking the new source control or area protection measures to changes in the land use and building construction practices within the affected areas can avoid the expected increase in future vulnerability. </w:t>
      </w:r>
    </w:p>
    <w:p>
      <w:pPr>
        <w:pStyle w:val="BodyTextIndent2"/>
        <w:jc w:val="both"/>
      </w:pPr>
      <w:r>
        <w:rPr>
          <w:rFonts w:ascii="" w:hAnsi="" w:cs="" w:eastAsia=""/>
          <w:b w:val="false"/>
          <w:i w:val="true"/>
          <w:strike w:val="false"/>
          <w:color w:val=""/>
          <w:sz w:val="22"/>
        </w:rPr>
        <w:t>Land use practices</w:t>
      </w:r>
      <w:r>
        <w:rPr>
          <w:rFonts w:ascii="" w:hAnsi="" w:cs="" w:eastAsia=""/>
          <w:b w:val="false"/>
          <w:i w:val="false"/>
          <w:strike w:val="false"/>
          <w:color w:val=""/>
          <w:sz w:val="22"/>
        </w:rPr>
        <w:t xml:space="preserve">. Implementation of long term reconstruction planning means setting in motion any changes in land use policies that were developed during the preimpact recovery planning process. This is also an opportune time to reexamine the community’s existing land use plans and to pass new ordinances that will reduce hazard exposure. Alternative land uses can reduce the total population and property at risk, sometimes </w:t>
      </w:r>
      <w:r>
        <w:rPr>
          <w:rFonts w:ascii="" w:hAnsi="" w:cs="" w:eastAsia=""/>
          <w:b w:val="false"/>
          <w:i w:val="false"/>
          <w:strike w:val="false"/>
          <w:color w:val=""/>
          <w:sz w:val="22"/>
        </w:rPr>
        <w:t>by reducing</w:t>
      </w:r>
      <w:r>
        <w:rPr>
          <w:rFonts w:ascii="" w:hAnsi="" w:cs="" w:eastAsia=""/>
          <w:b w:val="false"/>
          <w:i w:val="false"/>
          <w:strike w:val="false"/>
          <w:color w:val=""/>
          <w:sz w:val="22"/>
        </w:rPr>
        <w:t xml:space="preserve"> develop</w:t>
      </w:r>
      <w:r>
        <w:rPr>
          <w:rFonts w:ascii="" w:hAnsi="" w:cs="" w:eastAsia=""/>
          <w:b w:val="false"/>
          <w:i w:val="false"/>
          <w:strike w:val="false"/>
          <w:color w:val=""/>
          <w:sz w:val="22"/>
        </w:rPr>
        <w:t>ment in</w:t>
      </w:r>
      <w:r>
        <w:rPr>
          <w:rFonts w:ascii="" w:hAnsi="" w:cs="" w:eastAsia=""/>
          <w:b w:val="false"/>
          <w:i w:val="false"/>
          <w:strike w:val="false"/>
          <w:color w:val=""/>
          <w:sz w:val="22"/>
        </w:rPr>
        <w:t xml:space="preserve"> high hazard areas. This can be accomplished </w:t>
      </w:r>
      <w:r>
        <w:rPr>
          <w:rFonts w:ascii="" w:hAnsi="" w:cs="" w:eastAsia=""/>
          <w:b w:val="false"/>
          <w:i w:val="false"/>
          <w:strike w:val="false"/>
          <w:color w:val=""/>
          <w:sz w:val="22"/>
        </w:rPr>
        <w:t>by</w:t>
      </w:r>
      <w:r>
        <w:rPr>
          <w:rFonts w:ascii="" w:hAnsi="" w:cs="" w:eastAsia=""/>
          <w:b w:val="false"/>
          <w:i w:val="false"/>
          <w:strike w:val="false"/>
          <w:color w:val=""/>
          <w:sz w:val="22"/>
        </w:rPr>
        <w:t xml:space="preserve"> purchas</w:t>
      </w:r>
      <w:r>
        <w:rPr>
          <w:rFonts w:ascii="" w:hAnsi="" w:cs="" w:eastAsia=""/>
          <w:b w:val="false"/>
          <w:i w:val="false"/>
          <w:strike w:val="false"/>
          <w:color w:val=""/>
          <w:sz w:val="22"/>
        </w:rPr>
        <w:t>ing</w:t>
      </w:r>
      <w:r>
        <w:rPr>
          <w:rFonts w:ascii="" w:hAnsi="" w:cs="" w:eastAsia=""/>
          <w:b w:val="false"/>
          <w:i w:val="false"/>
          <w:strike w:val="false"/>
          <w:color w:val=""/>
          <w:sz w:val="22"/>
        </w:rPr>
        <w:t xml:space="preserve"> private property, purchas</w:t>
      </w:r>
      <w:r>
        <w:rPr>
          <w:rFonts w:ascii="" w:hAnsi="" w:cs="" w:eastAsia=""/>
          <w:b w:val="false"/>
          <w:i w:val="false"/>
          <w:strike w:val="false"/>
          <w:color w:val=""/>
          <w:sz w:val="22"/>
        </w:rPr>
        <w:t>ing</w:t>
      </w:r>
      <w:r>
        <w:rPr>
          <w:rFonts w:ascii="" w:hAnsi="" w:cs="" w:eastAsia=""/>
          <w:b w:val="false"/>
          <w:i w:val="false"/>
          <w:strike w:val="false"/>
          <w:color w:val=""/>
          <w:sz w:val="22"/>
        </w:rPr>
        <w:t xml:space="preserve"> development rights, relocati</w:t>
      </w:r>
      <w:r>
        <w:rPr>
          <w:rFonts w:ascii="" w:hAnsi="" w:cs="" w:eastAsia=""/>
          <w:b w:val="false"/>
          <w:i w:val="false"/>
          <w:strike w:val="false"/>
          <w:color w:val=""/>
          <w:sz w:val="22"/>
        </w:rPr>
        <w:t>ng</w:t>
      </w:r>
      <w:r>
        <w:rPr>
          <w:rFonts w:ascii="" w:hAnsi="" w:cs="" w:eastAsia=""/>
          <w:b w:val="false"/>
          <w:i w:val="false"/>
          <w:strike w:val="false"/>
          <w:color w:val=""/>
          <w:sz w:val="22"/>
        </w:rPr>
        <w:t xml:space="preserve"> public facilities and other infrastructure away from hazardous areas, and redirecti</w:t>
      </w:r>
      <w:r>
        <w:rPr>
          <w:rFonts w:ascii="" w:hAnsi="" w:cs="" w:eastAsia=""/>
          <w:b w:val="false"/>
          <w:i w:val="false"/>
          <w:strike w:val="false"/>
          <w:color w:val=""/>
          <w:sz w:val="22"/>
        </w:rPr>
        <w:t>ng</w:t>
      </w:r>
      <w:r>
        <w:rPr>
          <w:rFonts w:ascii="" w:hAnsi="" w:cs="" w:eastAsia=""/>
          <w:b w:val="false"/>
          <w:i w:val="false"/>
          <w:strike w:val="false"/>
          <w:color w:val=""/>
          <w:sz w:val="22"/>
        </w:rPr>
        <w:t xml:space="preserve"> new capital improvements away from hazardous areas. Road width and access regulations might also need to be established or revised at this stage. </w:t>
      </w:r>
      <w:r>
        <w:rPr>
          <w:rFonts w:ascii="" w:hAnsi="" w:cs="" w:eastAsia=""/>
          <w:b w:val="false"/>
          <w:i w:val="false"/>
          <w:strike w:val="false"/>
          <w:color w:val=""/>
          <w:sz w:val="22"/>
        </w:rPr>
        <w:t>Lot</w:t>
      </w:r>
      <w:r>
        <w:rPr>
          <w:rFonts w:ascii="" w:hAnsi="" w:cs="" w:eastAsia=""/>
          <w:b w:val="false"/>
          <w:i w:val="false"/>
          <w:strike w:val="false"/>
          <w:color w:val=""/>
          <w:sz w:val="22"/>
        </w:rPr>
        <w:t xml:space="preserve"> restrictions can be used to reduce population densities by downzoning and setbacks can be used to maximize distances from hazards. </w:t>
      </w:r>
      <w:r>
        <w:rPr>
          <w:rFonts w:ascii="" w:hAnsi="" w:cs="" w:eastAsia=""/>
          <w:b w:val="false"/>
          <w:i w:val="false"/>
          <w:strike w:val="false"/>
          <w:color w:val=""/>
          <w:sz w:val="22"/>
        </w:rPr>
        <w:t xml:space="preserve">Landscaping and vegetation requirements can be established to reduce </w:t>
      </w:r>
      <w:r>
        <w:rPr>
          <w:rFonts w:ascii="" w:hAnsi="" w:cs="" w:eastAsia=""/>
          <w:b w:val="false"/>
          <w:i w:val="false"/>
          <w:strike w:val="false"/>
          <w:color w:val=""/>
          <w:sz w:val="22"/>
        </w:rPr>
        <w:t xml:space="preserve">the </w:t>
      </w:r>
      <w:r>
        <w:rPr>
          <w:rFonts w:ascii="" w:hAnsi="" w:cs="" w:eastAsia=""/>
          <w:b w:val="false"/>
          <w:i w:val="false"/>
          <w:strike w:val="false"/>
          <w:color w:val=""/>
          <w:sz w:val="22"/>
        </w:rPr>
        <w:t xml:space="preserve">potential for flooding, landslides, or fires. Moreover, as discussed in Chapter 7, the ROP should provide guidance on the reconstruction of </w:t>
      </w:r>
      <w:r>
        <w:rPr>
          <w:rFonts w:ascii="" w:hAnsi="" w:cs="" w:eastAsia=""/>
          <w:b w:val="false"/>
          <w:i w:val="true"/>
          <w:strike w:val="false"/>
          <w:color w:val=""/>
          <w:sz w:val="22"/>
        </w:rPr>
        <w:t>nonconforming uses</w:t>
      </w:r>
      <w:r>
        <w:rPr>
          <w:rFonts w:ascii="" w:hAnsi="" w:cs="" w:eastAsia=""/>
          <w:b w:val="false"/>
          <w:i w:val="false"/>
          <w:strike w:val="false"/>
          <w:color w:val=""/>
          <w:sz w:val="22"/>
        </w:rPr>
        <w:t>, which are structures that do not meet the zoning requirements for their geographic areas. Usually these are older structures whose construction preceded the establishment of the current zoning requirements and, thus, are “grandfathered”.</w:t>
      </w:r>
    </w:p>
    <w:p>
      <w:pPr>
        <w:pStyle w:val="BodyTextIndent2"/>
        <w:jc w:val="both"/>
      </w:pPr>
      <w:r>
        <w:rPr>
          <w:rFonts w:ascii="" w:hAnsi="" w:cs="" w:eastAsia=""/>
          <w:b w:val="false"/>
          <w:i w:val="true"/>
          <w:strike w:val="false"/>
          <w:color w:val=""/>
          <w:sz w:val="22"/>
        </w:rPr>
        <w:t>Building construction practices</w:t>
      </w:r>
      <w:r>
        <w:rPr>
          <w:rFonts w:ascii="" w:hAnsi="" w:cs="" w:eastAsia=""/>
          <w:b w:val="false"/>
          <w:i w:val="false"/>
          <w:strike w:val="false"/>
          <w:color w:val=""/>
          <w:sz w:val="22"/>
        </w:rPr>
        <w:t xml:space="preserve">. The ROP should also address the implementation of new mitigation requirements such as elevating structures located in floodplains. Other building codes can also reduce the physical impact of a disaster on structures located in risk areas. These include increasing disaster resistance of the building structure and increasing the resistance of “soft spots” in the structure. In addition to addressing new code requirements, the ROP should also address the building construction process. </w:t>
      </w:r>
      <w:r>
        <w:rPr>
          <w:rFonts w:ascii="" w:hAnsi="" w:cs="" w:eastAsia=""/>
          <w:b w:val="false"/>
          <w:i w:val="false"/>
          <w:strike w:val="false"/>
          <w:color w:val=""/>
          <w:sz w:val="22"/>
        </w:rPr>
        <w:t>In particular, v</w:t>
      </w:r>
      <w:r>
        <w:rPr>
          <w:rFonts w:ascii="" w:hAnsi="" w:cs="" w:eastAsia=""/>
          <w:b w:val="false"/>
          <w:i w:val="false"/>
          <w:strike w:val="false"/>
          <w:color w:val=""/>
          <w:sz w:val="22"/>
        </w:rPr>
        <w:t>irtually every disaster produces complaints about out of area building contractors</w:t>
      </w:r>
      <w:r>
        <w:rPr>
          <w:rFonts w:ascii="" w:hAnsi="" w:cs="" w:eastAsia=""/>
          <w:b w:val="false"/>
          <w:i w:val="false"/>
          <w:strike w:val="false"/>
          <w:color w:val=""/>
          <w:sz w:val="22"/>
        </w:rPr>
        <w:t xml:space="preserve"> who receive advance payment for </w:t>
      </w:r>
      <w:r>
        <w:rPr>
          <w:rFonts w:ascii="" w:hAnsi="" w:cs="" w:eastAsia=""/>
          <w:b w:val="false"/>
          <w:i w:val="false"/>
          <w:strike w:val="false"/>
          <w:color w:val=""/>
          <w:sz w:val="22"/>
        </w:rPr>
        <w:t>work that never performed. Thus, the ROP should address the need to monitor them—especially by registering out-of-area contractors and providing contract advice to owners of damaged property. Care should be taken to ensure regulation of outside contractors and construction workers does not impede the ability of NGOs such as Habitat for Humanity to use volunteer labor from out of the area to assist in the reconstruction effort.</w:t>
      </w:r>
      <w:r>
        <w:rPr>
          <w:rFonts w:ascii="" w:hAnsi="" w:cs="" w:eastAsia=""/>
          <w:b w:val="false"/>
          <w:i w:val="false"/>
          <w:strike w:val="false"/>
          <w:color w:val=""/>
          <w:sz w:val="22"/>
        </w:rPr>
        <w:t xml:space="preserve"> The ROP</w:t>
      </w:r>
      <w:r>
        <w:rPr>
          <w:rFonts w:ascii="" w:hAnsi="" w:cs="" w:eastAsia=""/>
          <w:b w:val="false"/>
          <w:i w:val="false"/>
          <w:strike w:val="false"/>
          <w:color w:val=""/>
          <w:sz w:val="22"/>
        </w:rPr>
        <w:t xml:space="preserve"> need</w:t>
      </w:r>
      <w:r>
        <w:rPr>
          <w:rFonts w:ascii="" w:hAnsi="" w:cs="" w:eastAsia=""/>
          <w:b w:val="false"/>
          <w:i w:val="false"/>
          <w:strike w:val="false"/>
          <w:color w:val=""/>
          <w:sz w:val="22"/>
        </w:rPr>
        <w:t>s</w:t>
      </w:r>
      <w:r>
        <w:rPr>
          <w:rFonts w:ascii="" w:hAnsi="" w:cs="" w:eastAsia=""/>
          <w:b w:val="false"/>
          <w:i w:val="false"/>
          <w:strike w:val="false"/>
          <w:color w:val=""/>
          <w:sz w:val="22"/>
        </w:rPr>
        <w:t xml:space="preserve"> to balance the legitimate interests of local contractors against the needs of the community for rapid provision of affordable housing for low income residents (Peacock &amp; Ragsdale, 1997).</w:t>
      </w:r>
    </w:p>
    <w:p>
      <w:pPr>
        <w:pStyle w:val="BodyTextIndent2"/>
        <w:jc w:val="both"/>
      </w:pPr>
      <w:r>
        <w:rPr>
          <w:rFonts w:ascii="" w:hAnsi="" w:cs="" w:eastAsia=""/>
          <w:b w:val="false"/>
          <w:i w:val="true"/>
          <w:strike w:val="false"/>
          <w:color w:val=""/>
          <w:sz w:val="22"/>
        </w:rPr>
        <w:t>Public health/mental health recovery</w:t>
      </w:r>
      <w:r>
        <w:rPr>
          <w:rFonts w:ascii="" w:hAnsi="" w:cs="" w:eastAsia=""/>
          <w:b w:val="false"/>
          <w:i w:val="false"/>
          <w:strike w:val="false"/>
          <w:color w:val=""/>
          <w:sz w:val="22"/>
        </w:rPr>
        <w:t xml:space="preserve">. Most natural disasters in the </w:t>
      </w:r>
      <w:r>
        <w:rPr>
          <w:rFonts w:ascii="" w:hAnsi="" w:cs="" w:eastAsia=""/>
          <w:b w:val="false"/>
          <w:i w:val="false"/>
          <w:strike w:val="false"/>
          <w:color w:val=""/>
          <w:sz w:val="22"/>
        </w:rPr>
        <w:t>US</w:t>
      </w:r>
      <w:r>
        <w:rPr>
          <w:rFonts w:ascii="" w:hAnsi="" w:cs="" w:eastAsia=""/>
          <w:b w:val="false"/>
          <w:i w:val="false"/>
          <w:strike w:val="false"/>
          <w:color w:val=""/>
          <w:sz w:val="22"/>
        </w:rPr>
        <w:t xml:space="preserve"> have had minimal public health consequences because the country has few endemic diseases whose incidence is likely to increase after a disaster. Contrary to many people’s beliefs, dead bodies are a public health threat only if those who died had communicable diseases when they were alive. Death itself does not spontaneously generate disease. Waterborne illnesses are a problem if survivors drink from, wash food in, or bathe in water sources that have been contaminated by raw sewage or chemical spills. Of course, such exposures can be avoided by having survivors use bottled water or by evacuating the impact area until infrastructure has been restored. Disease vectors other than ingestion must also be controlled in areas where pests harbor diseases. For example, mosquito control has become increasingly important as mosquito transmitted diseases, such as </w:t>
      </w:r>
      <w:r>
        <w:rPr>
          <w:rFonts w:ascii="" w:hAnsi="" w:cs="" w:eastAsia=""/>
          <w:b w:val="false"/>
          <w:i w:val="false"/>
          <w:strike w:val="false"/>
          <w:color w:val=""/>
          <w:sz w:val="22"/>
        </w:rPr>
        <w:t>West Nile</w:t>
      </w:r>
      <w:r>
        <w:rPr>
          <w:rFonts w:ascii="" w:hAnsi="" w:cs="" w:eastAsia=""/>
          <w:b w:val="false"/>
          <w:i w:val="false"/>
          <w:strike w:val="false"/>
          <w:color w:val=""/>
          <w:sz w:val="22"/>
        </w:rPr>
        <w:t xml:space="preserve"> virus, have become increasingly prevalent.</w:t>
      </w:r>
    </w:p>
    <w:p>
      <w:pPr>
        <w:pStyle w:val=""/>
        <w:jc w:val="both"/>
      </w:pPr>
      <w:r>
        <w:rPr>
          <w:rFonts w:ascii="Times New Roman" w:hAnsi="Times New Roman" w:cs="Times New Roman" w:eastAsia="Times New Roman"/>
          <w:b w:val="false"/>
          <w:i w:val="false"/>
          <w:strike w:val="false"/>
          <w:color w:val=""/>
          <w:sz w:val="22"/>
        </w:rPr>
        <w:t>Similarly, natural disasters produce minimal mental health consequences. Clinical psychologists found nearly 20 years ago that few victims use formal psychological services in the aftermath of disaster (Gist &amp; Stolz, 1982). Since that time, an extensive research has confirmed that finding (Salzer &amp; Bickman, 1999). This has led many psychologists examine the typical problems victims face and, in so doing, found that the two most prominent are material resource loss (Freedy, et al., 1992) and disruption of social networks (Kaniasty &amp; Norris, 1995). The first of these problems, material resource loss, is addressed by the programs for housing and economic recovery. However, mental health professionals can facilitate the recovery process by acting as victim advocates, especially for victims who are unaccustomed to working with white collar bureaucracies (Salzer &amp; Bickman, 1999). Other recommendations include designing community interventions to provide social support by establishing victim locator systems, facilitating self-help groups, and community organizing (Salzer &amp; Bickman, 1999)</w:t>
      </w:r>
    </w:p>
    <w:p>
      <w:pPr>
        <w:pStyle w:val="BodyTextIndent2"/>
        <w:jc w:val="both"/>
      </w:pPr>
      <w:r>
        <w:rPr>
          <w:rFonts w:ascii="" w:hAnsi="" w:cs="" w:eastAsia=""/>
          <w:b w:val="false"/>
          <w:i w:val="false"/>
          <w:strike w:val="false"/>
          <w:color w:val=""/>
          <w:sz w:val="22"/>
        </w:rPr>
        <w:t xml:space="preserve">Nonetheless, others have concluded that the failure to seek formal psychological counseling is a potential threat to the mental health of victims and even first responders. In connection with the latter, Mitchell (1983) developed a system called the </w:t>
      </w:r>
      <w:r>
        <w:rPr>
          <w:rFonts w:ascii="" w:hAnsi="" w:cs="" w:eastAsia=""/>
          <w:b w:val="false"/>
          <w:i w:val="true"/>
          <w:strike w:val="false"/>
          <w:color w:val=""/>
          <w:sz w:val="22"/>
        </w:rPr>
        <w:t>Critical Incident Stress Debriefing</w:t>
      </w:r>
      <w:r>
        <w:rPr>
          <w:rFonts w:ascii="" w:hAnsi="" w:cs="" w:eastAsia=""/>
          <w:b w:val="false"/>
          <w:i w:val="false"/>
          <w:strike w:val="false"/>
          <w:color w:val=""/>
          <w:sz w:val="22"/>
        </w:rPr>
        <w:t xml:space="preserve">, which involves preincident training, individual crisis support, demobilization (e.g., informational debriefings as personnel </w:t>
      </w:r>
      <w:r>
        <w:rPr>
          <w:rFonts w:ascii="" w:hAnsi="" w:cs="" w:eastAsia=""/>
          <w:b w:val="false"/>
          <w:i w:val="false"/>
          <w:strike w:val="false"/>
          <w:color w:val=""/>
          <w:sz w:val="22"/>
        </w:rPr>
        <w:t>rotate off duty), defusing (small group discussions about the emotional significance of the event), family support, and referral to other support services (e.g., psychiatric, psychologic</w:t>
      </w:r>
      <w:r>
        <w:rPr>
          <w:rFonts w:ascii="" w:hAnsi="" w:cs="" w:eastAsia=""/>
          <w:b w:val="false"/>
          <w:i w:val="false"/>
          <w:strike w:val="false"/>
          <w:color w:val=""/>
          <w:sz w:val="22"/>
        </w:rPr>
        <w:t>al, legal, career). Despite its</w:t>
      </w:r>
      <w:r>
        <w:rPr>
          <w:rFonts w:ascii="" w:hAnsi="" w:cs="" w:eastAsia=""/>
          <w:b w:val="false"/>
          <w:i w:val="false"/>
          <w:strike w:val="false"/>
          <w:color w:val=""/>
          <w:sz w:val="22"/>
        </w:rPr>
        <w:t xml:space="preserve"> proponents claims of empirical support for this method, the most rigorous scientific evaluations have found no evidence of its effectiveness (McNally, Bryant &amp; Ehlers, 2003). One problem seems to be that establishing a rigid schedule for victims to discuss traumatic events disrupts their ability to control the alternation between psychological phases of active processing and avoidance (Pennebaker &amp; Harber, 1993). A related problem is the requirement for group discussion with their professional peers shortly after the event (usually within 12 hours). In the case of emergency responders, this conflicts with their preference for seeking support from spouses and others outside the workplace (Gist, et al., 1999). Thus, there appears to be no scientific justification to plan for anything other than routine referrals for psychological distress.</w:t>
      </w:r>
    </w:p>
    <w:p>
      <w:pPr>
        <w:pStyle w:val=""/>
        <w:jc w:val="both"/>
      </w:pPr>
      <w:r>
        <w:rPr>
          <w:rFonts w:ascii="Times New Roman" w:hAnsi="Times New Roman" w:cs="Times New Roman" w:eastAsia="Times New Roman"/>
          <w:b w:val="false"/>
          <w:i w:val="true"/>
          <w:strike w:val="false"/>
          <w:color w:val=""/>
          <w:sz w:val="22"/>
        </w:rPr>
        <w:t>Economic development</w:t>
      </w:r>
      <w:r>
        <w:rPr>
          <w:rFonts w:ascii="Times New Roman" w:hAnsi="Times New Roman" w:cs="Times New Roman" w:eastAsia="Times New Roman"/>
          <w:b w:val="false"/>
          <w:i w:val="false"/>
          <w:strike w:val="false"/>
          <w:color w:val=""/>
          <w:sz w:val="22"/>
        </w:rPr>
        <w:t>. The ROP should provide guidance on the economic development of the disaster stricken areas. The basic strategy for redevelopment should have been planned during the process of envisioning the community recovery strategy. Thus, this is the time at which the strategy is implemented. In communities that are highly dependent on tourism, active promotion is needed to assure prospective visitors that all facilities are back in operation.</w:t>
      </w:r>
    </w:p>
    <w:p>
      <w:pPr>
        <w:pStyle w:val="BodyTextIndent2"/>
        <w:jc w:val="both"/>
      </w:pPr>
      <w:r>
        <w:rPr>
          <w:rFonts w:ascii="" w:hAnsi="" w:cs="" w:eastAsia=""/>
          <w:b w:val="false"/>
          <w:i w:val="true"/>
          <w:strike w:val="false"/>
          <w:color w:val=""/>
          <w:sz w:val="22"/>
        </w:rPr>
        <w:t>Infrastructure resilience</w:t>
      </w:r>
      <w:r>
        <w:rPr>
          <w:rFonts w:ascii="" w:hAnsi="" w:cs="" w:eastAsia=""/>
          <w:b w:val="false"/>
          <w:i w:val="false"/>
          <w:strike w:val="false"/>
          <w:color w:val=""/>
          <w:sz w:val="22"/>
        </w:rPr>
        <w:t>. One opportunity that is likely to arise during disaster recovery is an opportunity to decrease the physical vulnerability of community infrastructure. In most cases, roads and bridges can be strengthened. Similarly, aboveground lines can be undergrounded to reduce their vulnerability to wind and ice. In some cases, pipelines for water, sewer, and fuel and major transmission lines for electric power and telephone can be rerouted to reduce vulnerability. However, most of these lifelines must pass through high hazard exposure areas at some point. For example, all lifelines must cross seismic faults to serve customers on the other side. All of these lifelines are critical to a community’s disaster resilience, so preimpact planning or postimpact improvisation should provide for rerouting and strengthening infrastructure to decrease its vulnerability to future disasters.</w:t>
      </w:r>
    </w:p>
    <w:p>
      <w:pPr>
        <w:pStyle w:val="BodyTextIndent2"/>
        <w:jc w:val="both"/>
      </w:pPr>
      <w:r>
        <w:rPr>
          <w:rFonts w:ascii="" w:hAnsi="" w:cs="" w:eastAsia=""/>
          <w:b w:val="false"/>
          <w:i w:val="true"/>
          <w:strike w:val="false"/>
          <w:color w:val=""/>
          <w:sz w:val="22"/>
        </w:rPr>
        <w:t>Historic preservation</w:t>
      </w:r>
      <w:r>
        <w:rPr>
          <w:rFonts w:ascii="" w:hAnsi="" w:cs="" w:eastAsia=""/>
          <w:b w:val="false"/>
          <w:i w:val="false"/>
          <w:strike w:val="false"/>
          <w:color w:val=""/>
          <w:sz w:val="22"/>
        </w:rPr>
        <w:t>. The disaster recovery period is an opportune time to examine the physical vulnerability of undamaged historic structures to determine how to protect them from future disasters (Cliver, 1998). The federal government has funds, as do many states, for the preservation of historic buildings. However, the affected community must initiate the process by recognizing the value of these structures and investing time and money into their preservation (Alfaro, 1998).</w:t>
      </w:r>
    </w:p>
    <w:p>
      <w:pPr>
        <w:pStyle w:val="BodyTextIndent2"/>
        <w:jc w:val="both"/>
      </w:pPr>
      <w:r>
        <w:rPr>
          <w:rFonts w:ascii="" w:hAnsi="" w:cs="" w:eastAsia=""/>
          <w:b w:val="false"/>
          <w:i w:val="true"/>
          <w:strike w:val="false"/>
          <w:color w:val=""/>
          <w:sz w:val="22"/>
        </w:rPr>
        <w:t>Environmental remediation</w:t>
      </w:r>
      <w:r>
        <w:rPr>
          <w:rFonts w:ascii="" w:hAnsi="" w:cs="" w:eastAsia=""/>
          <w:b w:val="false"/>
          <w:i w:val="false"/>
          <w:strike w:val="false"/>
          <w:color w:val=""/>
          <w:sz w:val="22"/>
        </w:rPr>
        <w:t>. Hazmat spills are an increasing problem during natural disasters and the process of cleaning up oil and chemical spills could take months (Lindell &amp; Perry, 1997b; Showalter &amp; Myers, 1994). In most cases, such work will be performed by specialized contractors hired by state or federal government. However, such efforts should be coordinated with local personnel from the department of public health, land use planning, or fire/hazmat response.</w:t>
      </w:r>
    </w:p>
    <w:p>
      <w:pPr>
        <w:pStyle w:val="BodyTextIndent2"/>
        <w:jc w:val="both"/>
      </w:pPr>
      <w:r>
        <w:rPr>
          <w:rFonts w:ascii="" w:hAnsi="" w:cs="" w:eastAsia=""/>
          <w:b w:val="false"/>
          <w:i w:val="true"/>
          <w:strike w:val="false"/>
          <w:color w:val=""/>
          <w:sz w:val="22"/>
        </w:rPr>
        <w:t>Disaster memorialization</w:t>
      </w:r>
      <w:r>
        <w:rPr>
          <w:rFonts w:ascii="" w:hAnsi="" w:cs="" w:eastAsia=""/>
          <w:b w:val="false"/>
          <w:i w:val="false"/>
          <w:strike w:val="false"/>
          <w:color w:val=""/>
          <w:sz w:val="22"/>
        </w:rPr>
        <w:t>. Disaster recovery is a critical time in the life of a community. In the case of major loss of life or of major damage to a community’s stock of historic buildings, the sense of loss can be tremendous. Communities frequently derive some collective solace from the establishment of a memorial structure or for the definition of a memorial day to be commemorated annually. These disaster memorials can play an important part in the recovery of a community’s sense of identity and pride</w:t>
      </w:r>
      <w:r>
        <w:rPr>
          <w:rFonts w:ascii="" w:hAnsi="" w:cs="" w:eastAsia=""/>
          <w:b w:val="false"/>
          <w:i w:val="false"/>
          <w:strike w:val="false"/>
          <w:color w:val=""/>
          <w:sz w:val="22"/>
        </w:rPr>
        <w:t>. Thus, they</w:t>
      </w:r>
      <w:r>
        <w:rPr>
          <w:rFonts w:ascii="" w:hAnsi="" w:cs="" w:eastAsia=""/>
          <w:b w:val="false"/>
          <w:i w:val="false"/>
          <w:strike w:val="false"/>
          <w:color w:val=""/>
          <w:sz w:val="22"/>
        </w:rPr>
        <w:t xml:space="preserve"> should be considered when a community has suffered a traumatic event. They must be planned and developed in a carefully designed, transparent, and participatory process in order to be effective instruments of community healing. In most disasters, the Recovery/Mitigation Committee should seek representation from a wide range of religious and secular groups. In some cases, the 9/11 </w:t>
      </w:r>
      <w:r>
        <w:rPr>
          <w:rFonts w:ascii="" w:hAnsi="" w:cs="" w:eastAsia=""/>
          <w:b w:val="false"/>
          <w:i w:val="false"/>
          <w:strike w:val="false"/>
          <w:color w:val=""/>
          <w:sz w:val="22"/>
        </w:rPr>
        <w:t>World</w:t>
      </w:r>
      <w:r>
        <w:rPr>
          <w:rFonts w:ascii="" w:hAnsi="" w:cs="" w:eastAsia=""/>
          <w:b w:val="false"/>
          <w:i w:val="false"/>
          <w:strike w:val="false"/>
          <w:color w:val=""/>
          <w:sz w:val="22"/>
        </w:rPr>
        <w:t xml:space="preserve"> </w:t>
      </w:r>
      <w:r>
        <w:rPr>
          <w:rFonts w:ascii="" w:hAnsi="" w:cs="" w:eastAsia=""/>
          <w:b w:val="false"/>
          <w:i w:val="false"/>
          <w:strike w:val="false"/>
          <w:color w:val=""/>
          <w:sz w:val="22"/>
        </w:rPr>
        <w:t>Trade</w:t>
      </w:r>
      <w:r>
        <w:rPr>
          <w:rFonts w:ascii="" w:hAnsi="" w:cs="" w:eastAsia=""/>
          <w:b w:val="false"/>
          <w:i w:val="false"/>
          <w:strike w:val="false"/>
          <w:color w:val=""/>
          <w:sz w:val="22"/>
        </w:rPr>
        <w:t xml:space="preserve"> </w:t>
      </w:r>
      <w:r>
        <w:rPr>
          <w:rFonts w:ascii="" w:hAnsi="" w:cs="" w:eastAsia=""/>
          <w:b w:val="false"/>
          <w:i w:val="false"/>
          <w:strike w:val="false"/>
          <w:color w:val=""/>
          <w:sz w:val="22"/>
        </w:rPr>
        <w:t>Center</w:t>
      </w:r>
      <w:r>
        <w:rPr>
          <w:rFonts w:ascii="" w:hAnsi="" w:cs="" w:eastAsia=""/>
          <w:b w:val="false"/>
          <w:i w:val="false"/>
          <w:strike w:val="false"/>
          <w:color w:val=""/>
          <w:sz w:val="22"/>
        </w:rPr>
        <w:t xml:space="preserve"> attack being </w:t>
      </w:r>
      <w:r>
        <w:rPr>
          <w:rFonts w:ascii="" w:hAnsi="" w:cs="" w:eastAsia=""/>
          <w:b w:val="false"/>
          <w:i w:val="false"/>
          <w:strike w:val="false"/>
          <w:color w:val=""/>
          <w:sz w:val="22"/>
        </w:rPr>
        <w:t>on</w:t>
      </w:r>
      <w:r>
        <w:rPr>
          <w:rFonts w:ascii="" w:hAnsi="" w:cs="" w:eastAsia=""/>
          <w:b w:val="false"/>
          <w:i w:val="false"/>
          <w:strike w:val="false"/>
          <w:color w:val=""/>
          <w:sz w:val="22"/>
        </w:rPr>
        <w:t>e</w:t>
      </w:r>
      <w:r>
        <w:rPr>
          <w:rFonts w:ascii="" w:hAnsi="" w:cs="" w:eastAsia=""/>
          <w:b w:val="false"/>
          <w:i w:val="false"/>
          <w:strike w:val="false"/>
          <w:color w:val=""/>
          <w:sz w:val="22"/>
        </w:rPr>
        <w:t xml:space="preserve"> of many examples, a committee of victims’ families has exerted substantial influence on the memorialization process. </w:t>
      </w:r>
    </w:p>
    <w:p>
      <w:pPr>
        <w:pStyle w:val="BodyTextIndent2"/>
        <w:jc w:val="both"/>
      </w:pPr>
      <w:r>
        <w:rPr>
          <w:rFonts w:ascii="" w:hAnsi="" w:cs="" w:eastAsia=""/>
          <w:b w:val="false"/>
          <w:i w:val="true"/>
          <w:strike w:val="false"/>
          <w:color w:val=""/>
          <w:sz w:val="22"/>
        </w:rPr>
        <w:t>Recovery Management</w:t>
      </w:r>
    </w:p>
    <w:p>
      <w:pPr>
        <w:pStyle w:val="BodyTextIndent2"/>
        <w:jc w:val="both"/>
      </w:pPr>
      <w:r>
        <w:rPr>
          <w:rFonts w:ascii="" w:hAnsi="" w:cs="" w:eastAsia=""/>
          <w:b w:val="false"/>
          <w:i w:val="true"/>
          <w:strike w:val="false"/>
          <w:color w:val=""/>
          <w:sz w:val="22"/>
        </w:rPr>
        <w:t>Agency notification and mobilization</w:t>
      </w:r>
      <w:r>
        <w:rPr>
          <w:rFonts w:ascii="" w:hAnsi="" w:cs="" w:eastAsia=""/>
          <w:b w:val="false"/>
          <w:i w:val="false"/>
          <w:strike w:val="false"/>
          <w:color w:val=""/>
          <w:sz w:val="22"/>
        </w:rPr>
        <w:t>. Unlike the incident management function performed during emergency response, the recovery management function performed during the disaster recovery does not require special procedures for agency notification and mobilization because agencies will be well aware of the disaster by th</w:t>
      </w:r>
      <w:r>
        <w:rPr>
          <w:rFonts w:ascii="" w:hAnsi="" w:cs="" w:eastAsia=""/>
          <w:b w:val="false"/>
          <w:i w:val="false"/>
          <w:strike w:val="false"/>
          <w:color w:val=""/>
          <w:sz w:val="22"/>
        </w:rPr>
        <w:t>e time recovery is initiated. T</w:t>
      </w:r>
      <w:r>
        <w:rPr>
          <w:rFonts w:ascii="" w:hAnsi="" w:cs="" w:eastAsia=""/>
          <w:b w:val="false"/>
          <w:i w:val="false"/>
          <w:strike w:val="false"/>
          <w:color w:val=""/>
          <w:sz w:val="22"/>
        </w:rPr>
        <w:t>he rapid assessment noted earlier might seem like a counterexample, but this task is actually part of the emergency response.</w:t>
      </w:r>
    </w:p>
    <w:p>
      <w:pPr>
        <w:pStyle w:val="BodyTextIndent2"/>
        <w:jc w:val="both"/>
      </w:pPr>
      <w:r>
        <w:rPr>
          <w:rFonts w:ascii="" w:hAnsi="" w:cs="" w:eastAsia=""/>
          <w:b w:val="false"/>
          <w:i w:val="true"/>
          <w:strike w:val="false"/>
          <w:color w:val=""/>
          <w:sz w:val="22"/>
        </w:rPr>
        <w:t>Mobilization of recovery facilities and equipment</w:t>
      </w:r>
      <w:r>
        <w:rPr>
          <w:rFonts w:ascii="" w:hAnsi="" w:cs="" w:eastAsia=""/>
          <w:b w:val="false"/>
          <w:i w:val="false"/>
          <w:strike w:val="false"/>
          <w:color w:val=""/>
          <w:sz w:val="22"/>
        </w:rPr>
        <w:t xml:space="preserve">. Recovery management does require the mobilization of recovery facilities for donations management, debris management, and disaster assistance (the DACs). As noted earlier, a community with a large population of displaced victims and a small housing vacancy rate might need to develop one or more mobile home parks to provide enough temporary housing. Rapid mobilization of such facilities requires preimpact screening to identify appropriate sites. Site selection criteria should, of course, include suitable zoning and access to utilities such as </w:t>
      </w:r>
      <w:r>
        <w:rPr>
          <w:rFonts w:ascii="" w:hAnsi="" w:cs="" w:eastAsia=""/>
          <w:b w:val="false"/>
          <w:i w:val="false"/>
          <w:strike w:val="false"/>
          <w:color w:val=""/>
          <w:sz w:val="22"/>
        </w:rPr>
        <w:t xml:space="preserve">water/sewer, </w:t>
      </w:r>
      <w:r>
        <w:rPr>
          <w:rFonts w:ascii="" w:hAnsi="" w:cs="" w:eastAsia=""/>
          <w:b w:val="false"/>
          <w:i w:val="false"/>
          <w:strike w:val="false"/>
          <w:color w:val=""/>
          <w:sz w:val="22"/>
        </w:rPr>
        <w:t>fuel and electricity. In addition, planners should also focus on sites that have access to public transportation and close proximity to the types of jobs that will be held by a low income population.</w:t>
      </w:r>
    </w:p>
    <w:p>
      <w:pPr>
        <w:pStyle w:val="BodyTextIndent2"/>
        <w:jc w:val="both"/>
      </w:pPr>
      <w:r>
        <w:rPr>
          <w:rFonts w:ascii="" w:hAnsi="" w:cs="" w:eastAsia=""/>
          <w:b w:val="false"/>
          <w:i w:val="true"/>
          <w:strike w:val="false"/>
          <w:color w:val=""/>
          <w:sz w:val="22"/>
        </w:rPr>
        <w:t>Internal direction and control</w:t>
      </w:r>
      <w:r>
        <w:rPr>
          <w:rFonts w:ascii="" w:hAnsi="" w:cs="" w:eastAsia=""/>
          <w:b w:val="false"/>
          <w:i w:val="false"/>
          <w:strike w:val="false"/>
          <w:color w:val=""/>
          <w:sz w:val="22"/>
        </w:rPr>
        <w:t>. There is a need for internal direction and control among agencies within the jurisdiction because many aspects of the recovery process require multiagency coordination. Disaster recovery typically involves local government agencies in tasks that are more like their normal duties than is the case for the emergency response. Thus, the ROP’s allocation of recovery functions to agencies will be relatively simple. In addition, disaster recovery does not require an equivalent to the Incident Commander who oversees the emergency response. Instead, different departments will usually be coordinated by the Recovery/Mitigation Committee. Finally, there is less time pressure during the disaster recovery than during the emergency response, so this committee’s meetings can be scheduled for daily or, later, weekly frequency. Nonetheless, decisions about recovery programs must often be made while victims still focused on satisfying basic needs such as food and shelter. Thus, recovery decisions may need to be made before citizens are ready to participate in a planning process (Smith, 2004).</w:t>
      </w:r>
    </w:p>
    <w:p>
      <w:pPr>
        <w:pStyle w:val="BodyTextIndent2"/>
        <w:jc w:val="both"/>
      </w:pPr>
      <w:r>
        <w:rPr>
          <w:rFonts w:ascii="" w:hAnsi="" w:cs="" w:eastAsia=""/>
          <w:b w:val="false"/>
          <w:i w:val="true"/>
          <w:strike w:val="false"/>
          <w:color w:val=""/>
          <w:sz w:val="22"/>
        </w:rPr>
        <w:t>External coordination</w:t>
      </w:r>
      <w:r>
        <w:rPr>
          <w:rFonts w:ascii="" w:hAnsi="" w:cs="" w:eastAsia=""/>
          <w:b w:val="false"/>
          <w:i w:val="false"/>
          <w:strike w:val="false"/>
          <w:color w:val=""/>
          <w:sz w:val="22"/>
        </w:rPr>
        <w:t>. There is a need for external coordination, especially in presidentially declared disasters, because of the presence of personnel from other jurisdictions and other levels of government. As is the case for internal direction and control, there should be a relatively clear understanding of which agencies will address each disaster response function. In addition, local agencies need to understand what are the restrictions associated with different state, federal, NGO, and CBO programs.</w:t>
      </w:r>
    </w:p>
    <w:p>
      <w:pPr>
        <w:pStyle w:val="BodyTextIndent2"/>
        <w:jc w:val="both"/>
      </w:pPr>
      <w:r>
        <w:rPr>
          <w:rFonts w:ascii="" w:hAnsi="" w:cs="" w:eastAsia=""/>
          <w:b w:val="false"/>
          <w:i w:val="true"/>
          <w:strike w:val="false"/>
          <w:color w:val=""/>
          <w:sz w:val="22"/>
        </w:rPr>
        <w:t>Public information</w:t>
      </w:r>
      <w:r>
        <w:rPr>
          <w:rFonts w:ascii="" w:hAnsi="" w:cs="" w:eastAsia=""/>
          <w:b w:val="false"/>
          <w:i w:val="false"/>
          <w:strike w:val="false"/>
          <w:color w:val=""/>
          <w:sz w:val="22"/>
        </w:rPr>
        <w:t xml:space="preserve">. There is also a need for public information, especially to inform disaster victims about recovery policies and procedures. However, there is also a need to inform other citizens about the progress of the recovery. Thus, the ROP should describe the procedure for disseminating public information during disaster recovery. The procedure should describe which agencies will be the source of each type of information, what will be the general content of their messages, and what communication channels they will use. As indicated in Chapter 4, general information about the recovery process and sources of additional information can be distributed through the mass media. Brochures can be targeted at individuals and organizations located in vulnerable zones (before a disaster strikes) or impact areas (after a disaster strikes). Telephone hotlines can be useful for answering questions about the recovery process, and a full time PIO should be on staff at the DAC during short term recovery. Public meetings should be held frequently to involve community residents in the reconstruction planning process. </w:t>
      </w:r>
    </w:p>
    <w:p>
      <w:pPr>
        <w:pStyle w:val=""/>
        <w:jc w:val="both"/>
      </w:pPr>
      <w:r>
        <w:rPr>
          <w:rFonts w:ascii="Times New Roman" w:hAnsi="Times New Roman" w:cs="Times New Roman" w:eastAsia="Times New Roman"/>
          <w:b w:val="false"/>
          <w:i w:val="false"/>
          <w:strike w:val="false"/>
          <w:color w:val=""/>
          <w:sz w:val="22"/>
        </w:rPr>
        <w:t xml:space="preserve">Research on disaster recovery has reported that some victims believe there is favoritism toward business interests at the expense of households. Similar concerns have arisen in other disasters where historic preservation, neighborhood, and ethnic organizations mobilized public demonstrations, pressured administrators in hearings, and filed lawsuits (Bolin, 1993). These organizations can slow recovery and make it more expensive (Bolin, 1993) unless there is a transparent process as well as clear and consistent answers to questions such as “Who is eligible for assistance?” and “How will land use change in the impact area and how will this affect adjacent areas?” </w:t>
      </w:r>
    </w:p>
    <w:p>
      <w:pPr>
        <w:pStyle w:val="BodyTextIndent2"/>
        <w:jc w:val="both"/>
      </w:pPr>
      <w:r>
        <w:rPr>
          <w:rFonts w:ascii="" w:hAnsi="" w:cs="" w:eastAsia=""/>
          <w:b w:val="false"/>
          <w:i w:val="true"/>
          <w:strike w:val="false"/>
          <w:color w:val=""/>
          <w:sz w:val="22"/>
        </w:rPr>
        <w:t>Recovery legal authority and financing</w:t>
      </w:r>
      <w:r>
        <w:rPr>
          <w:rFonts w:ascii="" w:hAnsi="" w:cs="" w:eastAsia=""/>
          <w:b w:val="false"/>
          <w:i w:val="false"/>
          <w:strike w:val="false"/>
          <w:color w:val=""/>
          <w:sz w:val="22"/>
        </w:rPr>
        <w:t xml:space="preserve">. The Recovery/Mitigation Committee needs to obtain legal authority for a wide range of short term recovery actions including a development moratorium, temporary repair permits, demolition regulations, and zoning for temporary housing (Schwab, et al., 1998). They also need to explore the feasibility of an </w:t>
      </w:r>
      <w:r>
        <w:rPr>
          <w:rFonts w:ascii="" w:hAnsi="" w:cs="" w:eastAsia=""/>
          <w:b w:val="false"/>
          <w:i w:val="true"/>
          <w:strike w:val="false"/>
          <w:color w:val=""/>
          <w:sz w:val="22"/>
        </w:rPr>
        <w:t>adequate public facility ordinance</w:t>
      </w:r>
      <w:r>
        <w:rPr>
          <w:rFonts w:ascii="" w:hAnsi="" w:cs="" w:eastAsia=""/>
          <w:b w:val="false"/>
          <w:i w:val="false"/>
          <w:strike w:val="false"/>
          <w:color w:val=""/>
          <w:sz w:val="22"/>
        </w:rPr>
        <w:t xml:space="preserve"> requiring developers to pay for extending infrastructure to locations where it does not already exist, </w:t>
      </w:r>
      <w:r>
        <w:rPr>
          <w:rFonts w:ascii="" w:hAnsi="" w:cs="" w:eastAsia=""/>
          <w:b w:val="false"/>
          <w:i w:val="true"/>
          <w:strike w:val="false"/>
          <w:color w:val=""/>
          <w:sz w:val="22"/>
        </w:rPr>
        <w:t>increased participation in the National Flood Insurance Program</w:t>
      </w:r>
      <w:r>
        <w:rPr>
          <w:rFonts w:ascii="" w:hAnsi="" w:cs="" w:eastAsia=""/>
          <w:b w:val="false"/>
          <w:i w:val="false"/>
          <w:strike w:val="false"/>
          <w:color w:val=""/>
          <w:sz w:val="22"/>
        </w:rPr>
        <w:t xml:space="preserve">, and revising </w:t>
      </w:r>
      <w:r>
        <w:rPr>
          <w:rFonts w:ascii="" w:hAnsi="" w:cs="" w:eastAsia=""/>
          <w:b w:val="false"/>
          <w:i w:val="true"/>
          <w:strike w:val="false"/>
          <w:color w:val=""/>
          <w:sz w:val="22"/>
        </w:rPr>
        <w:t>annexation procedures</w:t>
      </w:r>
      <w:r>
        <w:rPr>
          <w:rFonts w:ascii="" w:hAnsi="" w:cs="" w:eastAsia=""/>
          <w:b w:val="false"/>
          <w:i w:val="false"/>
          <w:strike w:val="false"/>
          <w:color w:val=""/>
          <w:sz w:val="22"/>
        </w:rPr>
        <w:t xml:space="preserve"> for incorporating additional land. In addition, the Recovery/Mitigation Committee should examine the adequacy of existing zoning tools including </w:t>
      </w:r>
      <w:r>
        <w:rPr>
          <w:rFonts w:ascii="" w:hAnsi="" w:cs="" w:eastAsia=""/>
          <w:b w:val="false"/>
          <w:i w:val="true"/>
          <w:strike w:val="false"/>
          <w:color w:val=""/>
          <w:sz w:val="22"/>
        </w:rPr>
        <w:t>development density controls</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tru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2018-05-09T20:20:05Z</dcterms:created>
  <dc:creator>Apache POI</dc:creator>
</cp:coreProperties>
</file>