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r>
        <w:rPr>
          <w:rFonts w:ascii="Arial" w:hAnsi="Arial" w:cs="Arial" w:eastAsia="Arial"/>
          <w:b w:val="false"/>
          <w:i w:val="false"/>
          <w:strike w:val="false"/>
          <w:color w:val=""/>
          <w:sz w:val="18"/>
        </w:rPr>
        <w:t/>
      </w:r>
    </w:p>
    <w:p>
      <w:pPr>
        <w:pStyle w:val=""/>
        <w:jc w:val="both"/>
      </w:pPr>
      <w:r>
        <w:rPr>
          <w:rFonts w:ascii="Times New Roman" w:hAnsi="Times New Roman" w:cs="Times New Roman" w:eastAsia="Times New Roman"/>
          <w:b w:val="false"/>
          <w:i w:val="false"/>
          <w:strike w:val="false"/>
          <w:color w:val=""/>
          <w:sz w:val="22"/>
        </w:rPr>
        <w:t xml:space="preserve">males to be involved in work outside the home. However, children of both genders participate in education. As will be seen later, households attempt to maintain their normal patterns of daily activities in </w:t>
      </w:r>
      <w:r>
        <w:rPr>
          <w:rFonts w:ascii="Times New Roman" w:hAnsi="Times New Roman" w:cs="Times New Roman" w:eastAsia="Times New Roman"/>
          <w:b w:val="false"/>
          <w:i w:val="false"/>
          <w:strike w:val="false"/>
          <w:color w:val=""/>
          <w:sz w:val="22"/>
        </w:rPr>
        <w:t>the face of disasters—especially what are considered to be the most essential activities—as well as household members’ division of labor in performing those activities.</w:t>
      </w:r>
    </w:p>
    <w:p>
      <w:pPr>
        <w:pStyle w:val=""/>
        <w:jc w:val="both"/>
      </w:pPr>
      <w:r>
        <w:rPr>
          <w:rFonts w:ascii="Times New Roman" w:hAnsi="Times New Roman" w:cs="Times New Roman" w:eastAsia="Times New Roman"/>
          <w:b w:val="false"/>
          <w:i w:val="true"/>
          <w:strike w:val="false"/>
          <w:color w:val=""/>
          <w:sz w:val="22"/>
        </w:rPr>
        <w:t>Business Activities</w:t>
      </w:r>
    </w:p>
    <w:p>
      <w:pPr>
        <w:pStyle w:val=""/>
        <w:jc w:val="both"/>
      </w:pPr>
      <w:r>
        <w:rPr>
          <w:rFonts w:ascii="Times New Roman" w:hAnsi="Times New Roman" w:cs="Times New Roman" w:eastAsia="Times New Roman"/>
          <w:b w:val="false"/>
          <w:i w:val="false"/>
          <w:strike w:val="false"/>
          <w:color w:val=""/>
          <w:sz w:val="22"/>
        </w:rPr>
        <w:t xml:space="preserve">The businesses in most towns and cities produce a wide variety of goods and services. The Bureau of the Census devised the </w:t>
      </w:r>
      <w:r>
        <w:rPr>
          <w:rFonts w:ascii="Times New Roman" w:hAnsi="Times New Roman" w:cs="Times New Roman" w:eastAsia="Times New Roman"/>
          <w:b w:val="false"/>
          <w:i w:val="false"/>
          <w:strike w:val="false"/>
          <w:color w:val="000000"/>
          <w:sz w:val="22"/>
        </w:rPr>
        <w:t xml:space="preserve">North American Industry Classification System (NAICS, revised in 2002), which was formerly known as the Standard Industrial Classification (SIC). NAICS categorizes all businesses into 20 industries and assigns a numerical code to each. Table 11-2 shows the two digit codes for these industries, but this is a very coarse grouping. These broad industrial classes are divided into finer categories that are identified by six digit codes (see www.census.gov/epcd/naics02/). </w:t>
      </w:r>
    </w:p>
    <w:p>
      <w:pPr>
        <w:pStyle w:val=""/>
        <w:jc w:val="both"/>
      </w:pPr>
      <w:r>
        <w:rPr>
          <w:rFonts w:ascii="Times New Roman" w:hAnsi="Times New Roman" w:cs="Times New Roman" w:eastAsia="Times New Roman"/>
          <w:b w:val="true"/>
          <w:i w:val="false"/>
          <w:strike w:val="false"/>
          <w:color w:val="000000"/>
          <w:sz w:val="22"/>
        </w:rPr>
        <w:t>Table 11-2</w:t>
      </w:r>
      <w:r>
        <w:rPr>
          <w:rFonts w:ascii="Times New Roman" w:hAnsi="Times New Roman" w:cs="Times New Roman" w:eastAsia="Times New Roman"/>
          <w:b w:val="false"/>
          <w:i w:val="false"/>
          <w:strike w:val="false"/>
          <w:color w:val="000000"/>
          <w:sz w:val="22"/>
        </w:rPr>
        <w:t xml:space="preserve">. North American Industry Classification System (2002).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r>
        <w:rPr>
          <w:rFonts w:ascii="Times New Roman" w:hAnsi="Times New Roman" w:cs="Times New Roman" w:eastAsia="Times New Roman"/>
          <w:b w:val="false"/>
          <w:i w:val="false"/>
          <w:strike w:val="false"/>
          <w:color w:val="000000"/>
          <w:sz w:val="22"/>
        </w:rPr>
        <w:t xml:space="preserve">Each community has its own pattern of reliance on these 20 industries, which can be assessed in terms of its location quotient, </w:t>
      </w:r>
    </w:p>
    <w:p>
      <w:pPr>
        <w:pStyle w:val=""/>
        <w:jc w:val="both"/>
      </w:pPr>
      <w:r>
        <w:rPr>
          <w:rFonts w:ascii="Times New Roman" w:hAnsi="Times New Roman" w:cs="Times New Roman" w:eastAsia="Times New Roman"/>
          <w:b w:val="false"/>
          <w:i w:val="false"/>
          <w:strike w:val="false"/>
          <w:color w:val="000000"/>
          <w:sz w:val="22"/>
        </w:rPr>
        <w:t>LQ = (e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i</w:t>
      </w:r>
      <w:r>
        <w:rPr>
          <w:rFonts w:ascii="Times New Roman" w:hAnsi="Times New Roman" w:cs="Times New Roman" w:eastAsia="Times New Roman"/>
          <w:b w:val="false"/>
          <w:i w:val="false"/>
          <w:strike w:val="false"/>
          <w:color w:val="000000"/>
          <w:sz w:val="22"/>
        </w:rPr>
        <w:t>/E</w:t>
      </w:r>
      <w:r>
        <w:rPr>
          <w:rFonts w:ascii="Times New Roman" w:hAnsi="Times New Roman" w:cs="Times New Roman" w:eastAsia="Times New Roman"/>
          <w:b w:val="false"/>
          <w:i w:val="false"/>
          <w:strike w:val="false"/>
          <w:color w:val="000000"/>
          <w:sz w:val="22"/>
        </w:rPr>
        <w:t>t</w:t>
      </w:r>
      <w:r>
        <w:rPr>
          <w:rFonts w:ascii="Times New Roman" w:hAnsi="Times New Roman" w:cs="Times New Roman" w:eastAsia="Times New Roman"/>
          <w:b w:val="false"/>
          <w:i w:val="false"/>
          <w:strike w:val="false"/>
          <w:color w:val="000000"/>
          <w:sz w:val="22"/>
        </w:rPr>
        <w:t xml:space="preserve">) </w:t>
      </w:r>
    </w:p>
    <w:p>
      <w:pPr>
        <w:pStyle w:val=""/>
        <w:jc w:val="both"/>
      </w:pPr>
      <w:r>
        <w:rPr>
          <w:rFonts w:ascii="Times New Roman" w:hAnsi="Times New Roman" w:cs="Times New Roman" w:eastAsia="Times New Roman"/>
          <w:b w:val="false"/>
          <w:i w:val="false"/>
          <w:strike w:val="false"/>
          <w:color w:val="000000"/>
          <w:sz w:val="22"/>
        </w:rPr>
        <w:t xml:space="preserve">where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local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local employment,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is national employment in industry </w:t>
      </w:r>
      <w:r>
        <w:rPr>
          <w:rFonts w:ascii="Times New Roman" w:hAnsi="Times New Roman" w:cs="Times New Roman" w:eastAsia="Times New Roman"/>
          <w:b w:val="false"/>
          <w:i w:val="true"/>
          <w:strike w:val="false"/>
          <w:color w:val="000000"/>
          <w:sz w:val="22"/>
        </w:rPr>
        <w:t>i</w:t>
      </w:r>
      <w:r>
        <w:rPr>
          <w:rFonts w:ascii="Times New Roman" w:hAnsi="Times New Roman" w:cs="Times New Roman" w:eastAsia="Times New Roman"/>
          <w:b w:val="false"/>
          <w:i w:val="false"/>
          <w:strike w:val="false"/>
          <w:color w:val="000000"/>
          <w:sz w:val="22"/>
        </w:rPr>
        <w:t xml:space="preserve">, and </w:t>
      </w:r>
      <w:r>
        <w:rPr>
          <w:rFonts w:ascii="Times New Roman" w:hAnsi="Times New Roman" w:cs="Times New Roman" w:eastAsia="Times New Roman"/>
          <w:b w:val="false"/>
          <w:i w:val="true"/>
          <w:strike w:val="false"/>
          <w:color w:val="000000"/>
          <w:sz w:val="22"/>
        </w:rPr>
        <w:t>E</w:t>
      </w:r>
      <w:r>
        <w:rPr>
          <w:rFonts w:ascii="Times New Roman" w:hAnsi="Times New Roman" w:cs="Times New Roman" w:eastAsia="Times New Roman"/>
          <w:b w:val="false"/>
          <w:i w:val="true"/>
          <w:strike w:val="false"/>
          <w:color w:val="000000"/>
          <w:sz w:val="22"/>
        </w:rPr>
        <w:t>t</w:t>
      </w:r>
      <w:r>
        <w:rPr>
          <w:rFonts w:ascii="Times New Roman" w:hAnsi="Times New Roman" w:cs="Times New Roman" w:eastAsia="Times New Roman"/>
          <w:b w:val="false"/>
          <w:i w:val="false"/>
          <w:strike w:val="false"/>
          <w:color w:val="000000"/>
          <w:sz w:val="22"/>
        </w:rPr>
        <w:t xml:space="preserve"> is total national employment (Blair &amp; Bingham, 2000). Some of the industries in Table 11-2 generate more exports from the community to other areas of the country and, thus, define its </w:t>
      </w:r>
      <w:r>
        <w:rPr>
          <w:rFonts w:ascii="Times New Roman" w:hAnsi="Times New Roman" w:cs="Times New Roman" w:eastAsia="Times New Roman"/>
          <w:b w:val="false"/>
          <w:i w:val="true"/>
          <w:strike w:val="false"/>
          <w:color w:val="000000"/>
          <w:sz w:val="22"/>
        </w:rPr>
        <w:t>economic base</w:t>
      </w:r>
      <w:r>
        <w:rPr>
          <w:rFonts w:ascii="Times New Roman" w:hAnsi="Times New Roman" w:cs="Times New Roman" w:eastAsia="Times New Roman"/>
          <w:b w:val="false"/>
          <w:i w:val="false"/>
          <w:strike w:val="false"/>
          <w:color w:val="000000"/>
          <w:sz w:val="22"/>
        </w:rPr>
        <w:t>.</w:t>
      </w:r>
    </w:p>
    <w:p>
      <w:pPr>
        <w:pStyle w:val=""/>
        <w:jc w:val="both"/>
      </w:pPr>
      <w:r>
        <w:rPr>
          <w:rFonts w:ascii="Times New Roman" w:hAnsi="Times New Roman" w:cs="Times New Roman" w:eastAsia="Times New Roman"/>
          <w:b w:val="false"/>
          <w:i w:val="false"/>
          <w:strike w:val="false"/>
          <w:color w:val="000000"/>
          <w:sz w:val="22"/>
        </w:rPr>
        <w:t xml:space="preserve">More specifically, the </w:t>
      </w:r>
      <w:r>
        <w:rPr>
          <w:rFonts w:ascii="Times New Roman" w:hAnsi="Times New Roman" w:cs="Times New Roman" w:eastAsia="Times New Roman"/>
          <w:b w:val="false"/>
          <w:i w:val="false"/>
          <w:strike w:val="false"/>
          <w:color w:val=""/>
          <w:sz w:val="22"/>
        </w:rPr>
        <w:t>economic base model identifies the relative amount of the community’s production of goods and services that is derived from basic (export)</w:t>
      </w:r>
      <w:r>
        <w:rPr>
          <w:rFonts w:ascii="Times New Roman" w:hAnsi="Times New Roman" w:cs="Times New Roman" w:eastAsia="Times New Roman"/>
          <w:b w:val="false"/>
          <w:i w:val="false"/>
          <w:strike w:val="false"/>
          <w:color w:val=""/>
          <w:sz w:val="22"/>
        </w:rPr>
        <w:t xml:space="preserve"> economic activities</w:t>
      </w:r>
      <w:r>
        <w:rPr>
          <w:rFonts w:ascii="Times New Roman" w:hAnsi="Times New Roman" w:cs="Times New Roman" w:eastAsia="Times New Roman"/>
          <w:b w:val="false"/>
          <w:i w:val="false"/>
          <w:strike w:val="false"/>
          <w:color w:val=""/>
          <w:sz w:val="22"/>
        </w:rPr>
        <w:t xml:space="preserve">, internal investment, and internal consumption (Chapin &amp; Kaiser, 1985). More money is available for internal investment and consumption when exports, the sale of goods and services outside the community, exceed imports. Indeed, a </w:t>
      </w:r>
      <w:r>
        <w:rPr>
          <w:rFonts w:ascii="Times New Roman" w:hAnsi="Times New Roman" w:cs="Times New Roman" w:eastAsia="Times New Roman"/>
          <w:b w:val="false"/>
          <w:i w:val="true"/>
          <w:strike w:val="false"/>
          <w:color w:val=""/>
          <w:sz w:val="22"/>
        </w:rPr>
        <w:t>multiplier effect</w:t>
      </w:r>
      <w:r>
        <w:rPr>
          <w:rFonts w:ascii="Times New Roman" w:hAnsi="Times New Roman" w:cs="Times New Roman" w:eastAsia="Times New Roman"/>
          <w:b w:val="false"/>
          <w:i w:val="false"/>
          <w:strike w:val="false"/>
          <w:color w:val=""/>
          <w:sz w:val="22"/>
        </w:rPr>
        <w:t xml:space="preserve"> is set in motion when money that is received from outside the community is spent inside the community. As a result, urban areas obtain between $1.50 and $2.50 in induced local income for every dollar of revenue from exports (Blair &amp; Bingham, 2000). The size of the multiplier for any given region can be determined from input-output analyses that use detailed information about the degree to which the firms in each sector obtain their inputs (raw materials and infrastructure) from inside the community and export their outputs to firms outside the community. This is modified by the size of each economic sector in that region. In general, mining, manufacturing, wholesale and retail trade, banking and finance, and high quality service facilities (e.g., nationally renowned medical clinics) are considered to be significant contributors to a community’s economic base. However, there can be exceptions to this rule </w:t>
      </w:r>
      <w:r>
        <w:rPr>
          <w:rFonts w:ascii="Times New Roman" w:hAnsi="Times New Roman" w:cs="Times New Roman" w:eastAsia="Times New Roman"/>
          <w:b w:val="false"/>
          <w:i w:val="false"/>
          <w:strike w:val="false"/>
          <w:color w:val=""/>
          <w:sz w:val="22"/>
        </w:rPr>
        <w:t>and it can be difficult to clearly classify businesses as basic or service</w:t>
      </w:r>
      <w:r>
        <w:rPr>
          <w:rFonts w:ascii="Times New Roman" w:hAnsi="Times New Roman" w:cs="Times New Roman" w:eastAsia="Times New Roman"/>
          <w:b w:val="false"/>
          <w:i w:val="false"/>
          <w:strike w:val="false"/>
          <w:color w:val=""/>
          <w:sz w:val="22"/>
        </w:rPr>
        <w:t xml:space="preserve"> activities</w:t>
      </w:r>
      <w:r>
        <w:rPr>
          <w:rFonts w:ascii="Times New Roman" w:hAnsi="Times New Roman" w:cs="Times New Roman" w:eastAsia="Times New Roman"/>
          <w:b w:val="false"/>
          <w:i w:val="false"/>
          <w:strike w:val="false"/>
          <w:color w:val=""/>
          <w:sz w:val="22"/>
        </w:rPr>
        <w:t xml:space="preserve">, to define the base area, and to measure the size of the base and service sectors (Chapin &amp; Kaiser, 1985). </w:t>
      </w:r>
    </w:p>
    <w:p>
      <w:pPr>
        <w:pStyle w:val=""/>
        <w:jc w:val="both"/>
      </w:pPr>
      <w:r>
        <w:rPr>
          <w:rFonts w:ascii="Times New Roman" w:hAnsi="Times New Roman" w:cs="Times New Roman" w:eastAsia="Times New Roman"/>
          <w:b w:val="false"/>
          <w:i w:val="false"/>
          <w:strike w:val="false"/>
          <w:color w:val=""/>
          <w:sz w:val="22"/>
        </w:rPr>
        <w:t>These economic concepts also have significant implications for disaster recovery. First, communities hav</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a weak economic base characterized by low exports, low investments, and high internal consumption will need considerable assistance in recovering from a disaster. Second, basic industries that produce exports should receive immediate attention in the disaster aftermath so they can generate income whose multiplier effect will stimulate local investment and consumption. This will spread the recovery to other community industries.</w:t>
      </w:r>
    </w:p>
    <w:p>
      <w:pPr>
        <w:pStyle w:val=""/>
        <w:jc w:val="both"/>
      </w:pPr>
      <w:r>
        <w:rPr>
          <w:rFonts w:ascii="Times New Roman" w:hAnsi="Times New Roman" w:cs="Times New Roman" w:eastAsia="Times New Roman"/>
          <w:b w:val="false"/>
          <w:i w:val="true"/>
          <w:strike w:val="false"/>
          <w:color w:val=""/>
          <w:sz w:val="22"/>
        </w:rPr>
        <w:t>Government activities</w:t>
      </w:r>
      <w:r>
        <w:rPr>
          <w:rFonts w:ascii="Times New Roman" w:hAnsi="Times New Roman" w:cs="Times New Roman" w:eastAsia="Times New Roman"/>
          <w:b w:val="false"/>
          <w:i w:val="false"/>
          <w:strike w:val="false"/>
          <w:color w:val=""/>
          <w:sz w:val="22"/>
        </w:rPr>
        <w:t>. The governments of most local jurisdictions—towns, cities, and counties—perform a variety of functions that cannot reasonably be performed by businesses in the private sector (Caiden, 1982; Graham &amp; Hays, 1993; Nigro &amp; Nigro, 1980). Each function is assigned to governmental subunit called an agency or department. All of the departments report to the jurisdiction’s CAO, wh</w:t>
      </w:r>
      <w:r>
        <w:rPr>
          <w:rFonts w:ascii="Times New Roman" w:hAnsi="Times New Roman" w:cs="Times New Roman" w:eastAsia="Times New Roman"/>
          <w:b w:val="false"/>
          <w:i w:val="false"/>
          <w:strike w:val="false"/>
          <w:color w:val=""/>
          <w:sz w:val="22"/>
        </w:rPr>
        <w:t>o</w:t>
      </w:r>
      <w:r>
        <w:rPr>
          <w:rFonts w:ascii="Times New Roman" w:hAnsi="Times New Roman" w:cs="Times New Roman" w:eastAsia="Times New Roman"/>
          <w:b w:val="false"/>
          <w:i w:val="false"/>
          <w:strike w:val="false"/>
          <w:color w:val=""/>
          <w:sz w:val="22"/>
        </w:rPr>
        <w:t xml:space="preserve"> might be a mayor, city manager, or Chair of the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Board</w:t>
      </w:r>
      <w:r>
        <w:rPr>
          <w:rFonts w:ascii="Times New Roman" w:hAnsi="Times New Roman" w:cs="Times New Roman" w:eastAsia="Times New Roman"/>
          <w:b w:val="false"/>
          <w:i w:val="false"/>
          <w:strike w:val="false"/>
          <w:color w:val=""/>
          <w:sz w:val="22"/>
        </w:rPr>
        <w:t xml:space="preserve"> of Supervisors. Figure 11-2 displays an organization chart list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departments t</w:t>
      </w:r>
      <w:r>
        <w:rPr>
          <w:rFonts w:ascii="Times New Roman" w:hAnsi="Times New Roman" w:cs="Times New Roman" w:eastAsia="Times New Roman"/>
          <w:b w:val="false"/>
          <w:i w:val="false"/>
          <w:strike w:val="false"/>
          <w:color w:val=""/>
          <w:sz w:val="22"/>
        </w:rPr>
        <w:t>ypically</w:t>
      </w:r>
      <w:r>
        <w:rPr>
          <w:rFonts w:ascii="Times New Roman" w:hAnsi="Times New Roman" w:cs="Times New Roman" w:eastAsia="Times New Roman"/>
          <w:b w:val="false"/>
          <w:i w:val="false"/>
          <w:strike w:val="false"/>
          <w:color w:val=""/>
          <w:sz w:val="22"/>
        </w:rPr>
        <w:t xml:space="preserve"> found in local jurisdictions and indicates the direct reporting relationship by the solid line connect</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each department directly to the CAO.</w:t>
      </w:r>
    </w:p>
    <w:p>
      <w:pPr>
        <w:pStyle w:val=""/>
        <w:jc w:val="both"/>
      </w:pPr>
      <w:r>
        <w:rPr>
          <w:rFonts w:ascii="Times New Roman" w:hAnsi="Times New Roman" w:cs="Times New Roman" w:eastAsia="Times New Roman"/>
          <w:b w:val="true"/>
          <w:i w:val="false"/>
          <w:strike w:val="false"/>
          <w:color w:val=""/>
          <w:sz w:val="22"/>
        </w:rPr>
        <w:t>Figure 11-2</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Sample Jurisdictional Organization Chart.</w:t>
      </w:r>
    </w:p>
    <w:p>
      <w:pPr>
        <w:pStyle w:val=""/>
        <w:jc w:val="both"/>
      </w:pPr>
      <w:r>
        <w:rPr>
          <w:rFonts w:ascii="Times New Roman" w:hAnsi="Times New Roman" w:cs="Times New Roman" w:eastAsia="Times New Roman"/>
          <w:b w:val="false"/>
          <w:i w:val="false"/>
          <w:strike w:val="false"/>
          <w:color w:val=""/>
          <w:sz w:val="22"/>
        </w:rPr>
        <w:t xml:space="preserve">The seven departments at the bottom are usually called </w:t>
      </w:r>
      <w:r>
        <w:rPr>
          <w:rFonts w:ascii="Times New Roman" w:hAnsi="Times New Roman" w:cs="Times New Roman" w:eastAsia="Times New Roman"/>
          <w:b w:val="false"/>
          <w:i w:val="true"/>
          <w:strike w:val="false"/>
          <w:color w:val=""/>
          <w:sz w:val="22"/>
        </w:rPr>
        <w:t>line agencies,</w:t>
      </w:r>
      <w:r>
        <w:rPr>
          <w:rFonts w:ascii="Times New Roman" w:hAnsi="Times New Roman" w:cs="Times New Roman" w:eastAsia="Times New Roman"/>
          <w:b w:val="false"/>
          <w:i w:val="false"/>
          <w:strike w:val="false"/>
          <w:color w:val=""/>
          <w:sz w:val="22"/>
        </w:rPr>
        <w:t xml:space="preserve"> whereas the six departments at the top of the organization chart are labeled </w:t>
      </w:r>
      <w:r>
        <w:rPr>
          <w:rFonts w:ascii="Times New Roman" w:hAnsi="Times New Roman" w:cs="Times New Roman" w:eastAsia="Times New Roman"/>
          <w:b w:val="false"/>
          <w:i w:val="true"/>
          <w:strike w:val="false"/>
          <w:color w:val=""/>
          <w:sz w:val="22"/>
        </w:rPr>
        <w:t>staff agencies</w:t>
      </w:r>
      <w:r>
        <w:rPr>
          <w:rFonts w:ascii="Times New Roman" w:hAnsi="Times New Roman" w:cs="Times New Roman" w:eastAsia="Times New Roman"/>
          <w:b w:val="false"/>
          <w:i w:val="false"/>
          <w:strike w:val="false"/>
          <w:color w:val=""/>
          <w:sz w:val="22"/>
        </w:rPr>
        <w:t xml:space="preserve">. In general, line agencies deliver services directly to the public, whereas staff agencies provide services to the line agencies and each other. By this point, </w:t>
      </w:r>
      <w:r>
        <w:rPr>
          <w:rFonts w:ascii="Times New Roman" w:hAnsi="Times New Roman" w:cs="Times New Roman" w:eastAsia="Times New Roman"/>
          <w:b w:val="false"/>
          <w:i w:val="false"/>
          <w:strike w:val="false"/>
          <w:color w:val=""/>
          <w:sz w:val="22"/>
        </w:rPr>
        <w:t>it should be clear</w:t>
      </w:r>
      <w:r>
        <w:rPr>
          <w:rFonts w:ascii="Times New Roman" w:hAnsi="Times New Roman" w:cs="Times New Roman" w:eastAsia="Times New Roman"/>
          <w:b w:val="false"/>
          <w:i w:val="false"/>
          <w:strike w:val="false"/>
          <w:color w:val=""/>
          <w:sz w:val="22"/>
        </w:rPr>
        <w:t xml:space="preserve"> what </w:t>
      </w:r>
      <w:r>
        <w:rPr>
          <w:rFonts w:ascii="Times New Roman" w:hAnsi="Times New Roman" w:cs="Times New Roman" w:eastAsia="Times New Roman"/>
          <w:b w:val="false"/>
          <w:i w:val="true"/>
          <w:strike w:val="false"/>
          <w:color w:val=""/>
          <w:sz w:val="22"/>
        </w:rPr>
        <w:t xml:space="preserve">Emergency Management </w:t>
      </w:r>
      <w:r>
        <w:rPr>
          <w:rFonts w:ascii="Times New Roman" w:hAnsi="Times New Roman" w:cs="Times New Roman" w:eastAsia="Times New Roman"/>
          <w:b w:val="false"/>
          <w:i w:val="false"/>
          <w:strike w:val="false"/>
          <w:color w:val=""/>
          <w:sz w:val="22"/>
        </w:rPr>
        <w:t xml:space="preserve">does, so that department will not be discussed further. Among the other staff agencies, </w:t>
      </w:r>
      <w:r>
        <w:rPr>
          <w:rFonts w:ascii="Times New Roman" w:hAnsi="Times New Roman" w:cs="Times New Roman" w:eastAsia="Times New Roman"/>
          <w:b w:val="false"/>
          <w:i w:val="true"/>
          <w:strike w:val="false"/>
          <w:color w:val=""/>
          <w:sz w:val="22"/>
        </w:rPr>
        <w:t>Intergovernmental/Public Relations</w:t>
      </w:r>
      <w:r>
        <w:rPr>
          <w:rFonts w:ascii="Times New Roman" w:hAnsi="Times New Roman" w:cs="Times New Roman" w:eastAsia="Times New Roman"/>
          <w:b w:val="false"/>
          <w:i w:val="false"/>
          <w:strike w:val="false"/>
          <w:color w:val=""/>
          <w:sz w:val="22"/>
        </w:rPr>
        <w:t xml:space="preserve"> provides information about the jurisdiction’s activities to those outside the organization. The </w:t>
      </w:r>
      <w:r>
        <w:rPr>
          <w:rFonts w:ascii="Times New Roman" w:hAnsi="Times New Roman" w:cs="Times New Roman" w:eastAsia="Times New Roman"/>
          <w:b w:val="false"/>
          <w:i w:val="true"/>
          <w:strike w:val="false"/>
          <w:color w:val=""/>
          <w:sz w:val="22"/>
        </w:rPr>
        <w:t>Human Resources</w:t>
      </w:r>
      <w:r>
        <w:rPr>
          <w:rFonts w:ascii="Times New Roman" w:hAnsi="Times New Roman" w:cs="Times New Roman" w:eastAsia="Times New Roman"/>
          <w:b w:val="false"/>
          <w:i w:val="false"/>
          <w:strike w:val="false"/>
          <w:color w:val=""/>
          <w:sz w:val="22"/>
        </w:rPr>
        <w:t xml:space="preserve"> department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oversee</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jurisdiction’s systems for personnel recruitment, selection, training, and performance </w:t>
      </w:r>
      <w:r>
        <w:rPr>
          <w:rFonts w:ascii="Times New Roman" w:hAnsi="Times New Roman" w:cs="Times New Roman" w:eastAsia="Times New Roman"/>
          <w:b w:val="false"/>
          <w:i w:val="false"/>
          <w:strike w:val="false"/>
          <w:color w:val=""/>
          <w:sz w:val="22"/>
        </w:rPr>
        <w:t xml:space="preserve">evaluation. </w:t>
      </w:r>
      <w:r>
        <w:rPr>
          <w:rFonts w:ascii="Times New Roman" w:hAnsi="Times New Roman" w:cs="Times New Roman" w:eastAsia="Times New Roman"/>
          <w:b w:val="false"/>
          <w:i w:val="true"/>
          <w:strike w:val="false"/>
          <w:color w:val=""/>
          <w:sz w:val="22"/>
        </w:rPr>
        <w:t>Finance &amp; Administration</w:t>
      </w:r>
      <w:r>
        <w:rPr>
          <w:rFonts w:ascii="Times New Roman" w:hAnsi="Times New Roman" w:cs="Times New Roman" w:eastAsia="Times New Roman"/>
          <w:b w:val="false"/>
          <w:i w:val="false"/>
          <w:strike w:val="false"/>
          <w:color w:val=""/>
          <w:sz w:val="22"/>
        </w:rPr>
        <w:t xml:space="preserve"> is responsible for budget preparation and control, accounting, property assessment, taxes and licenses, procurement, and property and records management. </w:t>
      </w:r>
      <w:r>
        <w:rPr>
          <w:rFonts w:ascii="Times New Roman" w:hAnsi="Times New Roman" w:cs="Times New Roman" w:eastAsia="Times New Roman"/>
          <w:b w:val="false"/>
          <w:i w:val="true"/>
          <w:strike w:val="false"/>
          <w:color w:val=""/>
          <w:sz w:val="22"/>
        </w:rPr>
        <w:t>Planning</w:t>
      </w:r>
      <w:r>
        <w:rPr>
          <w:rFonts w:ascii="Times New Roman" w:hAnsi="Times New Roman" w:cs="Times New Roman" w:eastAsia="Times New Roman"/>
          <w:b w:val="false"/>
          <w:i w:val="false"/>
          <w:strike w:val="false"/>
          <w:color w:val=""/>
          <w:sz w:val="22"/>
        </w:rPr>
        <w:t xml:space="preserve"> assess</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population and economic trends, develop</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the comprehensive plan and the capital improvements plan, formulat</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policies for land use regulation, and grant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permits for land development. </w:t>
      </w:r>
      <w:r>
        <w:rPr>
          <w:rFonts w:ascii="Times New Roman" w:hAnsi="Times New Roman" w:cs="Times New Roman" w:eastAsia="Times New Roman"/>
          <w:b w:val="false"/>
          <w:i w:val="true"/>
          <w:strike w:val="false"/>
          <w:color w:val=""/>
          <w:sz w:val="22"/>
        </w:rPr>
        <w:t>Legal Counsel</w:t>
      </w:r>
      <w:r>
        <w:rPr>
          <w:rFonts w:ascii="Times New Roman" w:hAnsi="Times New Roman" w:cs="Times New Roman" w:eastAsia="Times New Roman"/>
          <w:b w:val="false"/>
          <w:i w:val="false"/>
          <w:strike w:val="false"/>
          <w:color w:val=""/>
          <w:sz w:val="22"/>
        </w:rPr>
        <w:t xml:space="preserve"> is responsible for drafting ordinances, resolutions, and business contracts, as well as rendering legal opinions about proposed administrative actions and representing the jurisdiction in lawsuits.</w:t>
      </w:r>
    </w:p>
    <w:p>
      <w:pPr>
        <w:pStyle w:val=""/>
        <w:jc w:val="both"/>
      </w:pPr>
      <w:r>
        <w:rPr>
          <w:rFonts w:ascii="Times New Roman" w:hAnsi="Times New Roman" w:cs="Times New Roman" w:eastAsia="Times New Roman"/>
          <w:b w:val="false"/>
          <w:i w:val="false"/>
          <w:strike w:val="false"/>
          <w:color w:val=""/>
          <w:sz w:val="22"/>
        </w:rPr>
        <w:t xml:space="preserve">Among the line agencies, </w:t>
      </w:r>
      <w:r>
        <w:rPr>
          <w:rFonts w:ascii="Times New Roman" w:hAnsi="Times New Roman" w:cs="Times New Roman" w:eastAsia="Times New Roman"/>
          <w:b w:val="false"/>
          <w:i w:val="true"/>
          <w:strike w:val="false"/>
          <w:color w:val=""/>
          <w:sz w:val="22"/>
        </w:rPr>
        <w:t xml:space="preserve">Law Enforcement </w:t>
      </w:r>
      <w:r>
        <w:rPr>
          <w:rFonts w:ascii="Times New Roman" w:hAnsi="Times New Roman" w:cs="Times New Roman" w:eastAsia="Times New Roman"/>
          <w:b w:val="false"/>
          <w:i w:val="false"/>
          <w:strike w:val="false"/>
          <w:color w:val=""/>
          <w:sz w:val="22"/>
        </w:rPr>
        <w:t xml:space="preserve">conducts patrols and criminal investigations, and operates jails. </w:t>
      </w:r>
      <w:r>
        <w:rPr>
          <w:rFonts w:ascii="Times New Roman" w:hAnsi="Times New Roman" w:cs="Times New Roman" w:eastAsia="Times New Roman"/>
          <w:b w:val="false"/>
          <w:i w:val="true"/>
          <w:strike w:val="false"/>
          <w:color w:val=""/>
          <w:sz w:val="22"/>
        </w:rPr>
        <w:t xml:space="preserve">Fire/Rescue </w:t>
      </w:r>
      <w:r>
        <w:rPr>
          <w:rFonts w:ascii="Times New Roman" w:hAnsi="Times New Roman" w:cs="Times New Roman" w:eastAsia="Times New Roman"/>
          <w:b w:val="false"/>
          <w:i w:val="false"/>
          <w:strike w:val="false"/>
          <w:color w:val=""/>
          <w:sz w:val="22"/>
        </w:rPr>
        <w:t xml:space="preserve">is responsible for fire prevention, fire suppression, hazmat response, and </w:t>
      </w:r>
      <w:r>
        <w:rPr>
          <w:rFonts w:ascii="Times New Roman" w:hAnsi="Times New Roman" w:cs="Times New Roman" w:eastAsia="Times New Roman"/>
          <w:b w:val="false"/>
          <w:i w:val="false"/>
          <w:strike w:val="false"/>
          <w:color w:val=""/>
          <w:sz w:val="22"/>
        </w:rPr>
        <w:t>E</w:t>
      </w:r>
      <w:r>
        <w:rPr>
          <w:rFonts w:ascii="Times New Roman" w:hAnsi="Times New Roman" w:cs="Times New Roman" w:eastAsia="Times New Roman"/>
          <w:b w:val="false"/>
          <w:i w:val="false"/>
          <w:strike w:val="false"/>
          <w:color w:val=""/>
          <w:sz w:val="22"/>
        </w:rPr>
        <w:t>MS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Public Works</w:t>
      </w:r>
      <w:r>
        <w:rPr>
          <w:rFonts w:ascii="Times New Roman" w:hAnsi="Times New Roman" w:cs="Times New Roman" w:eastAsia="Times New Roman"/>
          <w:b w:val="false"/>
          <w:i w:val="false"/>
          <w:strike w:val="false"/>
          <w:color w:val=""/>
          <w:sz w:val="22"/>
        </w:rPr>
        <w:t xml:space="preserve"> is responsible for constructing and maintaining public buildings, streets, and lights; traffic engineering; sewers and storm drains; and garbage and trash collection. The </w:t>
      </w:r>
      <w:r>
        <w:rPr>
          <w:rFonts w:ascii="Times New Roman" w:hAnsi="Times New Roman" w:cs="Times New Roman" w:eastAsia="Times New Roman"/>
          <w:b w:val="false"/>
          <w:i w:val="true"/>
          <w:strike w:val="false"/>
          <w:color w:val=""/>
          <w:sz w:val="22"/>
        </w:rPr>
        <w:t>Social Services</w:t>
      </w:r>
      <w:r>
        <w:rPr>
          <w:rFonts w:ascii="Times New Roman" w:hAnsi="Times New Roman" w:cs="Times New Roman" w:eastAsia="Times New Roman"/>
          <w:b w:val="false"/>
          <w:i w:val="false"/>
          <w:strike w:val="false"/>
          <w:color w:val=""/>
          <w:sz w:val="22"/>
        </w:rPr>
        <w:t xml:space="preserve"> department administer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public housing and welfare programs such as Aid to Families with Dependent Children and food stamps. </w:t>
      </w:r>
      <w:r>
        <w:rPr>
          <w:rFonts w:ascii="Times New Roman" w:hAnsi="Times New Roman" w:cs="Times New Roman" w:eastAsia="Times New Roman"/>
          <w:b w:val="false"/>
          <w:i w:val="true"/>
          <w:strike w:val="false"/>
          <w:color w:val=""/>
          <w:sz w:val="22"/>
        </w:rPr>
        <w:t>Public Health</w:t>
      </w:r>
      <w:r>
        <w:rPr>
          <w:rFonts w:ascii="Times New Roman" w:hAnsi="Times New Roman" w:cs="Times New Roman" w:eastAsia="Times New Roman"/>
          <w:b w:val="false"/>
          <w:i w:val="false"/>
          <w:strike w:val="false"/>
          <w:color w:val=""/>
          <w:sz w:val="22"/>
        </w:rPr>
        <w:t xml:space="preserve"> monitor</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environmental contamination, epidemics, and immunizations. </w:t>
      </w:r>
      <w:r>
        <w:rPr>
          <w:rFonts w:ascii="Times New Roman" w:hAnsi="Times New Roman" w:cs="Times New Roman" w:eastAsia="Times New Roman"/>
          <w:b w:val="false"/>
          <w:i w:val="true"/>
          <w:strike w:val="false"/>
          <w:color w:val=""/>
          <w:sz w:val="22"/>
        </w:rPr>
        <w:t>Parks &amp; Recreation</w:t>
      </w:r>
      <w:r>
        <w:rPr>
          <w:rFonts w:ascii="Times New Roman" w:hAnsi="Times New Roman" w:cs="Times New Roman" w:eastAsia="Times New Roman"/>
          <w:b w:val="false"/>
          <w:i w:val="false"/>
          <w:strike w:val="false"/>
          <w:color w:val=""/>
          <w:sz w:val="22"/>
        </w:rPr>
        <w:t xml:space="preserve"> maintains public parks and administers programs for children’s athletics and some noncredit adult education. The department of </w:t>
      </w:r>
      <w:r>
        <w:rPr>
          <w:rFonts w:ascii="Times New Roman" w:hAnsi="Times New Roman" w:cs="Times New Roman" w:eastAsia="Times New Roman"/>
          <w:b w:val="false"/>
          <w:i w:val="true"/>
          <w:strike w:val="false"/>
          <w:color w:val=""/>
          <w:sz w:val="22"/>
        </w:rPr>
        <w:t>Building Construction</w:t>
      </w:r>
      <w:r>
        <w:rPr>
          <w:rFonts w:ascii="Times New Roman" w:hAnsi="Times New Roman" w:cs="Times New Roman" w:eastAsia="Times New Roman"/>
          <w:b w:val="false"/>
          <w:i w:val="false"/>
          <w:strike w:val="false"/>
          <w:color w:val=""/>
          <w:sz w:val="22"/>
        </w:rPr>
        <w:t xml:space="preserve"> review</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and approv</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building blueprints,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new construction at critical points in the construction process, and inspect</w:t>
      </w: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 existing buildings to determine if they must be condemned as unsafe for habitation. In some communities, an </w:t>
      </w:r>
      <w:r>
        <w:rPr>
          <w:rFonts w:ascii="Times New Roman" w:hAnsi="Times New Roman" w:cs="Times New Roman" w:eastAsia="Times New Roman"/>
          <w:b w:val="false"/>
          <w:i w:val="true"/>
          <w:strike w:val="false"/>
          <w:color w:val=""/>
          <w:sz w:val="22"/>
        </w:rPr>
        <w:t>Electric Utility</w:t>
      </w:r>
      <w:r>
        <w:rPr>
          <w:rFonts w:ascii="Times New Roman" w:hAnsi="Times New Roman" w:cs="Times New Roman" w:eastAsia="Times New Roman"/>
          <w:b w:val="false"/>
          <w:i w:val="false"/>
          <w:strike w:val="false"/>
          <w:color w:val=""/>
          <w:sz w:val="22"/>
        </w:rPr>
        <w:t xml:space="preserve"> that purchases power and operates the electric distribution system would be added to this organization chart. The figure includes no </w:t>
      </w:r>
      <w:r>
        <w:rPr>
          <w:rFonts w:ascii="Times New Roman" w:hAnsi="Times New Roman" w:cs="Times New Roman" w:eastAsia="Times New Roman"/>
          <w:b w:val="false"/>
          <w:i w:val="true"/>
          <w:strike w:val="false"/>
          <w:color w:val=""/>
          <w:sz w:val="22"/>
        </w:rPr>
        <w:t>Education</w:t>
      </w:r>
      <w:r>
        <w:rPr>
          <w:rFonts w:ascii="Times New Roman" w:hAnsi="Times New Roman" w:cs="Times New Roman" w:eastAsia="Times New Roman"/>
          <w:b w:val="false"/>
          <w:i w:val="false"/>
          <w:strike w:val="false"/>
          <w:color w:val=""/>
          <w:sz w:val="22"/>
        </w:rPr>
        <w:t xml:space="preserve"> department because this function is </w:t>
      </w:r>
      <w:r>
        <w:rPr>
          <w:rFonts w:ascii="Times New Roman" w:hAnsi="Times New Roman" w:cs="Times New Roman" w:eastAsia="Times New Roman"/>
          <w:b w:val="false"/>
          <w:i w:val="false"/>
          <w:strike w:val="false"/>
          <w:color w:val=""/>
          <w:sz w:val="22"/>
        </w:rPr>
        <w:t>usual</w:t>
      </w:r>
      <w:r>
        <w:rPr>
          <w:rFonts w:ascii="Times New Roman" w:hAnsi="Times New Roman" w:cs="Times New Roman" w:eastAsia="Times New Roman"/>
          <w:b w:val="false"/>
          <w:i w:val="false"/>
          <w:strike w:val="false"/>
          <w:color w:val=""/>
          <w:sz w:val="22"/>
        </w:rPr>
        <w:t>ly performed by an independent school district.</w:t>
      </w:r>
    </w:p>
    <w:p>
      <w:pPr>
        <w:pStyle w:val=""/>
        <w:jc w:val="both"/>
      </w:pPr>
      <w:r>
        <w:rPr>
          <w:rFonts w:ascii="Times New Roman" w:hAnsi="Times New Roman" w:cs="Times New Roman" w:eastAsia="Times New Roman"/>
          <w:b w:val="true"/>
          <w:i w:val="false"/>
          <w:strike w:val="false"/>
          <w:color w:val=""/>
          <w:sz w:val="22"/>
        </w:rPr>
        <w:t>An Overview of Community Disaster Recovery</w:t>
      </w:r>
    </w:p>
    <w:p>
      <w:pPr>
        <w:pStyle w:val=""/>
        <w:jc w:val="both"/>
      </w:pPr>
      <w:r>
        <w:rPr>
          <w:rFonts w:ascii="Times New Roman" w:hAnsi="Times New Roman" w:cs="Times New Roman" w:eastAsia="Times New Roman"/>
          <w:b w:val="false"/>
          <w:i w:val="false"/>
          <w:strike w:val="false"/>
          <w:color w:val=""/>
          <w:sz w:val="22"/>
        </w:rPr>
        <w:t xml:space="preserve">Disaster recovery is the phase of the emergency management cycle that begins with the stabilization of the incident and ends when the community has recovered from the disaster’s impacts. The term </w:t>
      </w:r>
      <w:r>
        <w:rPr>
          <w:rFonts w:ascii="Times New Roman" w:hAnsi="Times New Roman" w:cs="Times New Roman" w:eastAsia="Times New Roman"/>
          <w:b w:val="false"/>
          <w:i w:val="true"/>
          <w:strike w:val="false"/>
          <w:color w:val=""/>
          <w:sz w:val="22"/>
        </w:rPr>
        <w:t>incident stabilization</w:t>
      </w:r>
      <w:r>
        <w:rPr>
          <w:rFonts w:ascii="Times New Roman" w:hAnsi="Times New Roman" w:cs="Times New Roman" w:eastAsia="Times New Roman"/>
          <w:b w:val="false"/>
          <w:i w:val="false"/>
          <w:strike w:val="false"/>
          <w:color w:val=""/>
          <w:sz w:val="22"/>
        </w:rPr>
        <w:t xml:space="preserve"> refers to the point in time at which the immediate threats to human safety and property resulting from the physical impacts of the primary and secondary hazard agents have been resolved. Thus, the sense of uncertainty and urgency that is the hallmark of the emergency response is beginning to be replaced by thoughts about how to rebuild damaged structures, restore infrastructure services, and re</w:t>
      </w:r>
      <w:r>
        <w:rPr>
          <w:rFonts w:ascii="Times New Roman" w:hAnsi="Times New Roman" w:cs="Times New Roman" w:eastAsia="Times New Roman"/>
          <w:b w:val="false"/>
          <w:i w:val="false"/>
          <w:strike w:val="false"/>
          <w:color w:val=""/>
          <w:sz w:val="22"/>
        </w:rPr>
        <w:t>turn</w:t>
      </w:r>
      <w:r>
        <w:rPr>
          <w:rFonts w:ascii="Times New Roman" w:hAnsi="Times New Roman" w:cs="Times New Roman" w:eastAsia="Times New Roman"/>
          <w:b w:val="false"/>
          <w:i w:val="false"/>
          <w:strike w:val="false"/>
          <w:color w:val=""/>
          <w:sz w:val="22"/>
        </w:rPr>
        <w:t xml:space="preserve"> the community to its normal patterns of activity. For example, earthquake recovery could be said to begin after most buried victims have been extricated, buildings in danger of collapse have been shored up, and fires have been extinguished.</w:t>
      </w:r>
    </w:p>
    <w:p>
      <w:pPr>
        <w:pStyle w:val=""/>
        <w:jc w:val="both"/>
      </w:pPr>
      <w:r>
        <w:rPr>
          <w:rFonts w:ascii="Times New Roman" w:hAnsi="Times New Roman" w:cs="Times New Roman" w:eastAsia="Times New Roman"/>
          <w:b w:val="false"/>
          <w:i w:val="false"/>
          <w:strike w:val="false"/>
          <w:color w:val=""/>
          <w:sz w:val="22"/>
        </w:rPr>
        <w:t>As Chapter 6 indicated, most people’s objective in disaster recovery is to restore the patterns of household, business, and government activity exactly as they existed before the disaster struck. To do this, they typically assume they must rebuild the buildings and infrastructure as it was. Of course, it is now understood that restoring the community to its previous status will also reproduce the hazard exposure, physical vulnerability, and social vulnerability that led to the disaster. Thus, there are four questions that must be addressed. First, do stricken communities recover from disasters and, if so, how do they acquire the resources needed to replace those that were destroyed? Second, what happens to households, businesses, and government agencies as they struggle to recover? Third, can communities do to promote a more rapid, complete, and equitable recovery? Finally, what can communities do to reduce their hazard exposure and make themselves more resilient when extreme environmental events occur?</w:t>
      </w:r>
    </w:p>
    <w:p>
      <w:pPr>
        <w:pStyle w:val=""/>
        <w:jc w:val="both"/>
      </w:pPr>
      <w:r>
        <w:rPr>
          <w:rFonts w:ascii="Times New Roman" w:hAnsi="Times New Roman" w:cs="Times New Roman" w:eastAsia="Times New Roman"/>
          <w:b w:val="false"/>
          <w:i w:val="false"/>
          <w:strike w:val="false"/>
          <w:color w:val=""/>
          <w:sz w:val="22"/>
        </w:rPr>
        <w:t xml:space="preserve">The answer </w:t>
      </w:r>
      <w:r>
        <w:rPr>
          <w:rFonts w:ascii="Times New Roman" w:hAnsi="Times New Roman" w:cs="Times New Roman" w:eastAsia="Times New Roman"/>
          <w:b w:val="false"/>
          <w:i w:val="false"/>
          <w:strike w:val="false"/>
          <w:color w:val=""/>
          <w:sz w:val="22"/>
        </w:rPr>
        <w:t>to the first question is that US</w:t>
      </w:r>
      <w:r>
        <w:rPr>
          <w:rFonts w:ascii="Times New Roman" w:hAnsi="Times New Roman" w:cs="Times New Roman" w:eastAsia="Times New Roman"/>
          <w:b w:val="false"/>
          <w:i w:val="false"/>
          <w:strike w:val="false"/>
          <w:color w:val=""/>
          <w:sz w:val="22"/>
        </w:rPr>
        <w:t xml:space="preserve"> communities clearly do recover relatively quickly from disasters. There is general agreement with the explanation offered by Friesma, et al. (1979) that the local economic costs of disasters are redistributed over the entire country by means of an extensive network of </w:t>
      </w:r>
      <w:r>
        <w:rPr>
          <w:rFonts w:ascii="Times New Roman" w:hAnsi="Times New Roman" w:cs="Times New Roman" w:eastAsia="Times New Roman"/>
          <w:b w:val="false"/>
          <w:i w:val="false"/>
          <w:strike w:val="false"/>
          <w:color w:val=""/>
          <w:sz w:val="22"/>
        </w:rPr>
        <w:t xml:space="preserve">social, </w:t>
      </w:r>
      <w:r>
        <w:rPr>
          <w:rFonts w:ascii="Times New Roman" w:hAnsi="Times New Roman" w:cs="Times New Roman" w:eastAsia="Times New Roman"/>
          <w:b w:val="false"/>
          <w:i w:val="false"/>
          <w:strike w:val="false"/>
          <w:color w:val=""/>
          <w:sz w:val="22"/>
        </w:rPr>
        <w:t xml:space="preserve">economic, and political </w:t>
      </w:r>
      <w:r>
        <w:rPr>
          <w:rFonts w:ascii="Times New Roman" w:hAnsi="Times New Roman" w:cs="Times New Roman" w:eastAsia="Times New Roman"/>
          <w:b w:val="false"/>
          <w:i w:val="false"/>
          <w:strike w:val="false"/>
          <w:color w:val=""/>
          <w:sz w:val="22"/>
        </w:rPr>
        <w:t xml:space="preserve">linkages. The paths to recovery appear to be determined by the physical characteristics of the disaster agent, the types and quantities of community resources that survive the disaster, the external aid the community can obtain, and the reconstruction strategies these communities adopt and implement. However, the fact that communities </w:t>
      </w:r>
      <w:r>
        <w:rPr>
          <w:rFonts w:ascii="Times New Roman" w:hAnsi="Times New Roman" w:cs="Times New Roman" w:eastAsia="Times New Roman"/>
          <w:b w:val="false"/>
          <w:i w:val="true"/>
          <w:strike w:val="false"/>
          <w:color w:val=""/>
          <w:sz w:val="22"/>
        </w:rPr>
        <w:t>as a whole</w:t>
      </w:r>
      <w:r>
        <w:rPr>
          <w:rFonts w:ascii="Times New Roman" w:hAnsi="Times New Roman" w:cs="Times New Roman" w:eastAsia="Times New Roman"/>
          <w:b w:val="false"/>
          <w:i w:val="false"/>
          <w:strike w:val="false"/>
          <w:color w:val=""/>
          <w:sz w:val="22"/>
        </w:rPr>
        <w:t xml:space="preserve"> recover does not mean that specific neighborhoods or households within those neighborhoods recover </w:t>
      </w:r>
      <w:r>
        <w:rPr>
          <w:rFonts w:ascii="Times New Roman" w:hAnsi="Times New Roman" w:cs="Times New Roman" w:eastAsia="Times New Roman"/>
          <w:b w:val="false"/>
          <w:i w:val="false"/>
          <w:strike w:val="false"/>
          <w:color w:val=""/>
          <w:sz w:val="22"/>
        </w:rPr>
        <w:t>at the same rate</w:t>
      </w:r>
      <w:r>
        <w:rPr>
          <w:rFonts w:ascii="Times New Roman" w:hAnsi="Times New Roman" w:cs="Times New Roman" w:eastAsia="Times New Roman"/>
          <w:b w:val="false"/>
          <w:i w:val="false"/>
          <w:strike w:val="false"/>
          <w:color w:val=""/>
          <w:sz w:val="22"/>
        </w:rPr>
        <w:t xml:space="preserve"> or even at all. Similarly, it does not mean specific economic sectors or individual businesses within those sectors will be able to maintain or even resume operations. Thus, it is important to anticipate which population segments and economic sectors will have the most difficulty in recovering. This will enable community authorities to intervene with technical and financial assistance when it is needed, monitor their recovery, and encourage them to adopt hazard mitigation measures </w:t>
      </w:r>
      <w:r>
        <w:rPr>
          <w:rFonts w:ascii="Times New Roman" w:hAnsi="Times New Roman" w:cs="Times New Roman" w:eastAsia="Times New Roman"/>
          <w:b w:val="false"/>
          <w:i w:val="false"/>
          <w:strike w:val="false"/>
          <w:color w:val=""/>
          <w:sz w:val="22"/>
        </w:rPr>
        <w:t>to</w:t>
      </w:r>
      <w:r>
        <w:rPr>
          <w:rFonts w:ascii="Times New Roman" w:hAnsi="Times New Roman" w:cs="Times New Roman" w:eastAsia="Times New Roman"/>
          <w:b w:val="false"/>
          <w:i w:val="false"/>
          <w:strike w:val="false"/>
          <w:color w:val=""/>
          <w:sz w:val="22"/>
        </w:rPr>
        <w:t xml:space="preserve"> reduce their hazard vulnerability.</w:t>
      </w:r>
    </w:p>
    <w:p>
      <w:pPr>
        <w:pStyle w:val=""/>
        <w:jc w:val="both"/>
      </w:pPr>
      <w:r>
        <w:rPr>
          <w:rFonts w:ascii="Times New Roman" w:hAnsi="Times New Roman" w:cs="Times New Roman" w:eastAsia="Times New Roman"/>
          <w:b w:val="false"/>
          <w:i w:val="false"/>
          <w:strike w:val="false"/>
          <w:color w:val=""/>
          <w:sz w:val="22"/>
        </w:rPr>
        <w:t xml:space="preserve">Disaster recovery has both physical and social dimensions that arise from the physical and social impacts described in Chapter 6. Thus, disaster recovery includes actions taken to cope with casualties—households must find emotion focused strategies for dealing with the </w:t>
      </w:r>
      <w:r>
        <w:rPr>
          <w:rFonts w:ascii="Times New Roman" w:hAnsi="Times New Roman" w:cs="Times New Roman" w:eastAsia="Times New Roman"/>
          <w:b w:val="false"/>
          <w:i w:val="false"/>
          <w:strike w:val="false"/>
          <w:color w:val=""/>
          <w:sz w:val="22"/>
        </w:rPr>
        <w:t>loss</w:t>
      </w:r>
      <w:r>
        <w:rPr>
          <w:rFonts w:ascii="Times New Roman" w:hAnsi="Times New Roman" w:cs="Times New Roman" w:eastAsia="Times New Roman"/>
          <w:b w:val="false"/>
          <w:i w:val="false"/>
          <w:strike w:val="false"/>
          <w:color w:val=""/>
          <w:sz w:val="22"/>
        </w:rPr>
        <w:t xml:space="preserve"> of affective support from loved ones, as well as problem focused strategies for coping with the loss of physical resources needed to generate an income, manage the home, and rear the children. Moreover, injuries can add the emotional strain of reassuring those who have been hurt and the financial strain of their medical care. Similarly, businesses must cope with the unavailability of trained personnel who might be dead, injured, overwhelmed with caring for families and friends, or simply trying to find a place for their households to eat, sleep, and resume a semblance of a normal life.</w:t>
      </w:r>
    </w:p>
    <w:p>
      <w:pPr>
        <w:pStyle w:val=""/>
        <w:jc w:val="both"/>
      </w:pPr>
      <w:r>
        <w:rPr>
          <w:rFonts w:ascii="Times New Roman" w:hAnsi="Times New Roman" w:cs="Times New Roman" w:eastAsia="Times New Roman"/>
          <w:b w:val="false"/>
          <w:i w:val="false"/>
          <w:strike w:val="false"/>
          <w:color w:val=""/>
          <w:sz w:val="22"/>
        </w:rPr>
        <w:t xml:space="preserve">Disaster recovery also includes actions taken to cope with property damage. Thus, households must repair minor damage and rebuild substantially damaged property. Businesses and government agencies repair commercial and industrial structures, critical facilities such as hospitals, police stations and fire stations, and infrastructure such as water, sewer, electric power, fuel, transportation, and telecommunications. </w:t>
      </w:r>
    </w:p>
    <w:p>
      <w:pPr>
        <w:pStyle w:val=""/>
        <w:jc w:val="both"/>
      </w:pPr>
      <w:r>
        <w:rPr>
          <w:rFonts w:ascii="Times New Roman" w:hAnsi="Times New Roman" w:cs="Times New Roman" w:eastAsia="Times New Roman"/>
          <w:b w:val="false"/>
          <w:i w:val="false"/>
          <w:strike w:val="false"/>
          <w:color w:val=""/>
          <w:sz w:val="22"/>
        </w:rPr>
        <w:t xml:space="preserve">Perhaps the most distinctive, but unfortunately elusive, aspect of disaster recovery is the restoration of disrupted community social routines and economic activities. The process of “getting back to normal” involves restoring people’s psychological stability, learning positive lessons from the disaster experience, and restoring satisfying patterns of interaction with family, friends, relatives, neighbors, and coworkers. It also involves returning to full-time employment that provides at least a preimpact level of income and reestablishing normal patterns of community governance. </w:t>
      </w:r>
    </w:p>
    <w:p>
      <w:pPr>
        <w:pStyle w:val=""/>
        <w:jc w:val="both"/>
      </w:pPr>
      <w:r>
        <w:rPr>
          <w:rFonts w:ascii="Times New Roman" w:hAnsi="Times New Roman" w:cs="Times New Roman" w:eastAsia="Times New Roman"/>
          <w:b w:val="false"/>
          <w:i w:val="false"/>
          <w:strike w:val="false"/>
          <w:color w:val=""/>
          <w:sz w:val="22"/>
        </w:rPr>
        <w:t>Unfortunately, “normal” is almost inevitably what got the community in trouble in the first place. When cities allow too much development in floodplains, or in fireprone foothills, or allow substandard housing to be built that collapses in an earthquake, “normal” is an unsustainable condition. Consequently, a disaster resilient community learns from its harsh experience which areas of the community have excessive levels of hazard exposure. It also identifies the types of buildings, infrastructure, and critical facilities that have inadequate designs, construction methods, and construction materials. Finally, it recognizes which households, businesses, and government agencies have inadequate resources, lifestyles, or operational patterns that make them unable to recover effectively from a disaster.</w:t>
      </w:r>
    </w:p>
    <w:p>
      <w:pPr>
        <w:pStyle w:val=""/>
        <w:jc w:val="both"/>
      </w:pPr>
      <w:r>
        <w:rPr>
          <w:rFonts w:ascii="Times New Roman" w:hAnsi="Times New Roman" w:cs="Times New Roman" w:eastAsia="Times New Roman"/>
          <w:b w:val="false"/>
          <w:i w:val="false"/>
          <w:strike w:val="false"/>
          <w:color w:val=""/>
          <w:sz w:val="22"/>
        </w:rPr>
        <w:t xml:space="preserve">Moreover, a disaster resilient community learns how to use the disaster as a focusing event that changes people’s beliefs about their hazard vulnerability, the availability of hazard adjustments to reduce that vulnerability, and the portfolio of hazard adjustments that is likely to be most suitable for their community. In addition, a disaster resilient community develops effective mechanisms for mobilizing </w:t>
      </w:r>
      <w:r>
        <w:rPr>
          <w:rFonts w:ascii="Times New Roman" w:hAnsi="Times New Roman" w:cs="Times New Roman" w:eastAsia="Times New Roman"/>
          <w:b w:val="false"/>
          <w:i w:val="false"/>
          <w:strike w:val="false"/>
          <w:color w:val=""/>
          <w:sz w:val="22"/>
        </w:rPr>
        <w:t>community support to change development policies as well as government capacity and commitment for implementing those policies effectively.</w:t>
      </w:r>
    </w:p>
    <w:p>
      <w:pPr>
        <w:pStyle w:val="Heading1"/>
        <w:jc w:val="both"/>
      </w:pPr>
      <w:r>
        <w:rPr>
          <w:rFonts w:ascii="Times New Roman" w:hAnsi="Times New Roman" w:cs="Times New Roman" w:eastAsia="Times New Roman"/>
          <w:b w:val="false"/>
          <w:i w:val="false"/>
          <w:strike w:val="false"/>
          <w:color w:val=""/>
          <w:sz w:val="22"/>
        </w:rPr>
        <w:t>The Recovery Process</w:t>
      </w:r>
    </w:p>
    <w:p>
      <w:pPr>
        <w:pStyle w:val=""/>
        <w:jc w:val="both"/>
      </w:pPr>
      <w:r>
        <w:rPr>
          <w:rFonts w:ascii="Times New Roman" w:hAnsi="Times New Roman" w:cs="Times New Roman" w:eastAsia="Times New Roman"/>
          <w:b w:val="false"/>
          <w:i w:val="false"/>
          <w:strike w:val="false"/>
          <w:color w:val=""/>
          <w:sz w:val="22"/>
        </w:rPr>
        <w:t>This section begins by examining the most prominent typologies of disaster phases—periods of time that are characterized by specific types of activities. Next, it describes the typical processes involved in household and business recovery.</w:t>
      </w:r>
    </w:p>
    <w:p>
      <w:pPr>
        <w:pStyle w:val=""/>
        <w:jc w:val="both"/>
      </w:pPr>
      <w:r>
        <w:rPr>
          <w:rFonts w:ascii="Times New Roman" w:hAnsi="Times New Roman" w:cs="Times New Roman" w:eastAsia="Times New Roman"/>
          <w:b w:val="false"/>
          <w:i w:val="true"/>
          <w:strike w:val="false"/>
          <w:color w:val=""/>
          <w:sz w:val="22"/>
        </w:rPr>
        <w:t>Phases of Disaster Recovery</w:t>
      </w:r>
    </w:p>
    <w:p>
      <w:pPr>
        <w:pStyle w:val=""/>
        <w:jc w:val="both"/>
      </w:pPr>
      <w:r>
        <w:rPr>
          <w:rFonts w:ascii="Times New Roman" w:hAnsi="Times New Roman" w:cs="Times New Roman" w:eastAsia="Times New Roman"/>
          <w:b w:val="false"/>
          <w:i w:val="false"/>
          <w:strike w:val="false"/>
          <w:color w:val=""/>
          <w:sz w:val="22"/>
        </w:rPr>
        <w:t xml:space="preserve">Researchers have divided disaster recovery into a number of stages, but these definitions vary. Kates and Pijawka’s (1977) frequently cited four phase model begins with the </w:t>
      </w:r>
      <w:r>
        <w:rPr>
          <w:rFonts w:ascii="Times New Roman" w:hAnsi="Times New Roman" w:cs="Times New Roman" w:eastAsia="Times New Roman"/>
          <w:b w:val="false"/>
          <w:i w:val="true"/>
          <w:strike w:val="false"/>
          <w:color w:val=""/>
          <w:sz w:val="22"/>
        </w:rPr>
        <w:t>emergency</w:t>
      </w:r>
      <w:r>
        <w:rPr>
          <w:rFonts w:ascii="Times New Roman" w:hAnsi="Times New Roman" w:cs="Times New Roman" w:eastAsia="Times New Roman"/>
          <w:b w:val="false"/>
          <w:i w:val="false"/>
          <w:strike w:val="false"/>
          <w:color w:val=""/>
          <w:sz w:val="22"/>
        </w:rPr>
        <w:t xml:space="preserve"> period, which lasts for a period that ranges from a few days to a few weeks and encompasses the emergency response period when the EOP is implemented. Next comes the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period, when repairs to utilities are made, debris is removed, evacuees return, and residential, commercial, and industrial structures are repaired. This period can take weeks to months. The third phase, the </w:t>
      </w:r>
      <w:r>
        <w:rPr>
          <w:rFonts w:ascii="Times New Roman" w:hAnsi="Times New Roman" w:cs="Times New Roman" w:eastAsia="Times New Roman"/>
          <w:b w:val="false"/>
          <w:i w:val="true"/>
          <w:strike w:val="false"/>
          <w:color w:val=""/>
          <w:sz w:val="22"/>
        </w:rPr>
        <w:t>reconstruction replacement</w:t>
      </w:r>
      <w:r>
        <w:rPr>
          <w:rFonts w:ascii="Times New Roman" w:hAnsi="Times New Roman" w:cs="Times New Roman" w:eastAsia="Times New Roman"/>
          <w:b w:val="false"/>
          <w:i w:val="false"/>
          <w:strike w:val="false"/>
          <w:color w:val=""/>
          <w:sz w:val="22"/>
        </w:rPr>
        <w:t xml:space="preserve"> period, involves rebuilding capital stocks and returning the economy to predisaster levels. This period can take months to years. Finally, there is the </w:t>
      </w:r>
      <w:r>
        <w:rPr>
          <w:rFonts w:ascii="Times New Roman" w:hAnsi="Times New Roman" w:cs="Times New Roman" w:eastAsia="Times New Roman"/>
          <w:b w:val="false"/>
          <w:i w:val="true"/>
          <w:strike w:val="false"/>
          <w:color w:val=""/>
          <w:sz w:val="22"/>
        </w:rPr>
        <w:t>development</w:t>
      </w:r>
      <w:r>
        <w:rPr>
          <w:rFonts w:ascii="Times New Roman" w:hAnsi="Times New Roman" w:cs="Times New Roman" w:eastAsia="Times New Roman"/>
          <w:b w:val="false"/>
          <w:i w:val="false"/>
          <w:strike w:val="false"/>
          <w:color w:val=""/>
          <w:sz w:val="22"/>
        </w:rPr>
        <w:t xml:space="preserve"> phase, when commemorative structures are built, memorial dates are institutionalized, and attempts are made to improve the community. Sullivan (2003) used a similar typology consisting of four “intra-recovery elements”. These include </w:t>
      </w:r>
      <w:r>
        <w:rPr>
          <w:rFonts w:ascii="Times New Roman" w:hAnsi="Times New Roman" w:cs="Times New Roman" w:eastAsia="Times New Roman"/>
          <w:b w:val="false"/>
          <w:i w:val="true"/>
          <w:strike w:val="false"/>
          <w:color w:val=""/>
          <w:sz w:val="22"/>
        </w:rPr>
        <w:t>post-impact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restoration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replacement/reconstruction</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commemorative, betterment, and developmental</w:t>
      </w:r>
      <w:r>
        <w:rPr>
          <w:rFonts w:ascii="Times New Roman" w:hAnsi="Times New Roman" w:cs="Times New Roman" w:eastAsia="Times New Roman"/>
          <w:b w:val="false"/>
          <w:i w:val="false"/>
          <w:strike w:val="false"/>
          <w:color w:val=""/>
          <w:sz w:val="22"/>
        </w:rPr>
        <w:t xml:space="preserve"> reconstruction. </w:t>
      </w:r>
    </w:p>
    <w:p>
      <w:pPr>
        <w:pStyle w:val=""/>
        <w:jc w:val="both"/>
      </w:pPr>
      <w:r>
        <w:rPr>
          <w:rFonts w:ascii="Times New Roman" w:hAnsi="Times New Roman" w:cs="Times New Roman" w:eastAsia="Times New Roman"/>
          <w:b w:val="false"/>
          <w:i w:val="false"/>
          <w:strike w:val="false"/>
          <w:color w:val=""/>
          <w:sz w:val="22"/>
        </w:rPr>
        <w:t xml:space="preserve">Others have divided the recovery period into somewhat different phases. United Nations Disaster Relief Organization (UNDRO, 1984) called the period from the disaster impact to Day 5 the </w:t>
      </w:r>
      <w:r>
        <w:rPr>
          <w:rFonts w:ascii="Times New Roman" w:hAnsi="Times New Roman" w:cs="Times New Roman" w:eastAsia="Times New Roman"/>
          <w:b w:val="false"/>
          <w:i w:val="true"/>
          <w:strike w:val="false"/>
          <w:color w:val=""/>
          <w:sz w:val="22"/>
        </w:rPr>
        <w:t xml:space="preserve">immediate relief </w:t>
      </w:r>
      <w:r>
        <w:rPr>
          <w:rFonts w:ascii="Times New Roman" w:hAnsi="Times New Roman" w:cs="Times New Roman" w:eastAsia="Times New Roman"/>
          <w:b w:val="false"/>
          <w:i w:val="false"/>
          <w:strike w:val="false"/>
          <w:color w:val=""/>
          <w:sz w:val="22"/>
        </w:rPr>
        <w:t xml:space="preserve">period, followed by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(Day 5 to Month 3) and </w:t>
      </w:r>
      <w:r>
        <w:rPr>
          <w:rFonts w:ascii="Times New Roman" w:hAnsi="Times New Roman" w:cs="Times New Roman" w:eastAsia="Times New Roman"/>
          <w:b w:val="false"/>
          <w:i w:val="true"/>
          <w:strike w:val="false"/>
          <w:color w:val=""/>
          <w:sz w:val="22"/>
        </w:rPr>
        <w:t>reconstruction</w:t>
      </w:r>
      <w:r>
        <w:rPr>
          <w:rFonts w:ascii="Times New Roman" w:hAnsi="Times New Roman" w:cs="Times New Roman" w:eastAsia="Times New Roman"/>
          <w:b w:val="false"/>
          <w:i w:val="false"/>
          <w:strike w:val="false"/>
          <w:color w:val=""/>
          <w:sz w:val="22"/>
        </w:rPr>
        <w:t xml:space="preserve"> (Month 3 onward) periods. Schwab and his colleagues (1998) adopted a similar three phase typology that broadly distinguished among </w:t>
      </w:r>
      <w:r>
        <w:rPr>
          <w:rFonts w:ascii="Times New Roman" w:hAnsi="Times New Roman" w:cs="Times New Roman" w:eastAsia="Times New Roman"/>
          <w:b w:val="false"/>
          <w:i w:val="true"/>
          <w:strike w:val="false"/>
          <w:color w:val=""/>
          <w:sz w:val="22"/>
        </w:rPr>
        <w:t>emergency response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short term recovery</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long term recovery</w:t>
      </w:r>
      <w:r>
        <w:rPr>
          <w:rFonts w:ascii="Times New Roman" w:hAnsi="Times New Roman" w:cs="Times New Roman" w:eastAsia="Times New Roman"/>
          <w:b w:val="false"/>
          <w:i w:val="false"/>
          <w:strike w:val="false"/>
          <w:color w:val=""/>
          <w:sz w:val="22"/>
        </w:rPr>
        <w:t xml:space="preserve">. Alexander (1993) described three stages of disaster recovery, with the first, the </w:t>
      </w:r>
      <w:r>
        <w:rPr>
          <w:rFonts w:ascii="Times New Roman" w:hAnsi="Times New Roman" w:cs="Times New Roman" w:eastAsia="Times New Roman"/>
          <w:b w:val="false"/>
          <w:i w:val="true"/>
          <w:strike w:val="false"/>
          <w:color w:val=""/>
          <w:sz w:val="22"/>
        </w:rPr>
        <w:t>rehabilitation</w:t>
      </w:r>
      <w:r>
        <w:rPr>
          <w:rFonts w:ascii="Times New Roman" w:hAnsi="Times New Roman" w:cs="Times New Roman" w:eastAsia="Times New Roman"/>
          <w:b w:val="false"/>
          <w:i w:val="false"/>
          <w:strike w:val="false"/>
          <w:color w:val=""/>
          <w:sz w:val="22"/>
        </w:rPr>
        <w:t xml:space="preserve"> stage, involving the continuing care of victims. During the </w:t>
      </w:r>
      <w:r>
        <w:rPr>
          <w:rFonts w:ascii="Times New Roman" w:hAnsi="Times New Roman" w:cs="Times New Roman" w:eastAsia="Times New Roman"/>
          <w:b w:val="false"/>
          <w:i w:val="true"/>
          <w:strike w:val="false"/>
          <w:color w:val=""/>
          <w:sz w:val="22"/>
        </w:rPr>
        <w:t>temporary reconstruction</w:t>
      </w:r>
      <w:r>
        <w:rPr>
          <w:rFonts w:ascii="Times New Roman" w:hAnsi="Times New Roman" w:cs="Times New Roman" w:eastAsia="Times New Roman"/>
          <w:b w:val="false"/>
          <w:i w:val="false"/>
          <w:strike w:val="false"/>
          <w:color w:val=""/>
          <w:sz w:val="22"/>
        </w:rPr>
        <w:t xml:space="preserve"> stage, temporary bracing is installed for unstable buildings and bridges and prefabricated or other temporary housing is established. Finally, the </w:t>
      </w:r>
      <w:r>
        <w:rPr>
          <w:rFonts w:ascii="Times New Roman" w:hAnsi="Times New Roman" w:cs="Times New Roman" w:eastAsia="Times New Roman"/>
          <w:b w:val="false"/>
          <w:i w:val="true"/>
          <w:strike w:val="false"/>
          <w:color w:val=""/>
          <w:sz w:val="22"/>
        </w:rPr>
        <w:t>permanent reconstruction</w:t>
      </w:r>
      <w:r>
        <w:rPr>
          <w:rFonts w:ascii="Times New Roman" w:hAnsi="Times New Roman" w:cs="Times New Roman" w:eastAsia="Times New Roman"/>
          <w:b w:val="false"/>
          <w:i w:val="false"/>
          <w:strike w:val="false"/>
          <w:color w:val=""/>
          <w:sz w:val="22"/>
        </w:rPr>
        <w:t xml:space="preserve"> stage relies on good administration and management to achieve full community recovery. </w:t>
      </w:r>
    </w:p>
    <w:p>
      <w:pPr>
        <w:pStyle w:val=""/>
        <w:jc w:val="both"/>
      </w:pPr>
      <w:r>
        <w:rPr>
          <w:rFonts w:ascii="Times New Roman" w:hAnsi="Times New Roman" w:cs="Times New Roman" w:eastAsia="Times New Roman"/>
          <w:b w:val="false"/>
          <w:i w:val="false"/>
          <w:strike w:val="false"/>
          <w:color w:val=""/>
          <w:sz w:val="22"/>
        </w:rPr>
        <w:t>As was the case with conceptualiz</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emergency management as a sequence of phases—hazard mitigation, emergency preparedness, emergency response, and disaster recovery—defining disaster recovery as a sequence of phases is also problematic. Even the early formulations noted that these phases often overlap in practice, shortening the whole recovery period (Kates, 1977). It is now generally accepted that disaster recovery encompasses multiple activities, some implemented sequentially and others implemented simultaneously. At any one time, some households might be engaged in one set of recovery activities while others are engaged in other recovery activities. Indeed, some households might be fully recovered months or years </w:t>
      </w:r>
      <w:r>
        <w:rPr>
          <w:rFonts w:ascii="Times New Roman" w:hAnsi="Times New Roman" w:cs="Times New Roman" w:eastAsia="Times New Roman"/>
          <w:b w:val="false"/>
          <w:i w:val="false"/>
          <w:strike w:val="false"/>
          <w:color w:val=""/>
          <w:sz w:val="22"/>
        </w:rPr>
        <w:t>after</w:t>
      </w:r>
      <w:r>
        <w:rPr>
          <w:rFonts w:ascii="Times New Roman" w:hAnsi="Times New Roman" w:cs="Times New Roman" w:eastAsia="Times New Roman"/>
          <w:b w:val="false"/>
          <w:i w:val="false"/>
          <w:strike w:val="false"/>
          <w:color w:val=""/>
          <w:sz w:val="22"/>
        </w:rPr>
        <w:t xml:space="preserve"> others and there might be households or businesses that never recover at all. Thus, attempts to define finely differentiated phases of disaster recovery are inherently limited in their validity. Because of the simple and self explanatory nature of their typology, Schwab and his colleagues’ (1998) very broad distinctions among emergency response, short term recovery, and long term recovery will be used to organize the discussion in the rest this chapter. However, the sections that follow begin with a description of what happens to two basic social units—households and businesses.</w:t>
      </w:r>
    </w:p>
    <w:p>
      <w:pPr>
        <w:pStyle w:val=""/>
        <w:jc w:val="both"/>
      </w:pPr>
      <w:r>
        <w:rPr>
          <w:rFonts w:ascii="Times New Roman" w:hAnsi="Times New Roman" w:cs="Times New Roman" w:eastAsia="Times New Roman"/>
          <w:b w:val="false"/>
          <w:i w:val="true"/>
          <w:strike w:val="false"/>
          <w:color w:val=""/>
          <w:sz w:val="22"/>
        </w:rPr>
        <w:t>Facilitating Conditions for Disaster Recovery</w:t>
      </w:r>
    </w:p>
    <w:p>
      <w:pPr>
        <w:pStyle w:val=""/>
        <w:jc w:val="both"/>
      </w:pPr>
      <w:r>
        <w:rPr>
          <w:rFonts w:ascii="Times New Roman" w:hAnsi="Times New Roman" w:cs="Times New Roman" w:eastAsia="Times New Roman"/>
          <w:b w:val="false"/>
          <w:i w:val="false"/>
          <w:strike w:val="false"/>
          <w:color w:val=""/>
          <w:sz w:val="22"/>
        </w:rPr>
        <w:t xml:space="preserve">Rubin (1991) found that community recovery depends upon a number of variables. Three of these variables cannot be controlled by local government. These are </w:t>
      </w:r>
      <w:r>
        <w:rPr>
          <w:rFonts w:ascii="Times New Roman" w:hAnsi="Times New Roman" w:cs="Times New Roman" w:eastAsia="Times New Roman"/>
          <w:b w:val="false"/>
          <w:i w:val="true"/>
          <w:strike w:val="false"/>
          <w:color w:val=""/>
          <w:sz w:val="22"/>
        </w:rPr>
        <w:t>federal influences and conditions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state influences and conditions</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community based needs and demands for action</w:t>
      </w:r>
      <w:r>
        <w:rPr>
          <w:rFonts w:ascii="Times New Roman" w:hAnsi="Times New Roman" w:cs="Times New Roman" w:eastAsia="Times New Roman"/>
          <w:b w:val="false"/>
          <w:i w:val="false"/>
          <w:strike w:val="false"/>
          <w:color w:val=""/>
          <w:sz w:val="22"/>
        </w:rPr>
        <w:t xml:space="preserve">. By contrast, local governments do have some control over </w:t>
      </w:r>
      <w:r>
        <w:rPr>
          <w:rFonts w:ascii="Times New Roman" w:hAnsi="Times New Roman" w:cs="Times New Roman" w:eastAsia="Times New Roman"/>
          <w:b w:val="false"/>
          <w:i w:val="true"/>
          <w:strike w:val="false"/>
          <w:color w:val=""/>
          <w:sz w:val="22"/>
        </w:rPr>
        <w:t>personal leadership</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ability to act</w:t>
      </w:r>
      <w:r>
        <w:rPr>
          <w:rFonts w:ascii="Times New Roman" w:hAnsi="Times New Roman" w:cs="Times New Roman" w:eastAsia="Times New Roman"/>
          <w:b w:val="false"/>
          <w:i w:val="false"/>
          <w:strike w:val="false"/>
          <w:color w:val=""/>
          <w:sz w:val="22"/>
        </w:rPr>
        <w:t xml:space="preserve">, and </w:t>
      </w:r>
      <w:r>
        <w:rPr>
          <w:rFonts w:ascii="Times New Roman" w:hAnsi="Times New Roman" w:cs="Times New Roman" w:eastAsia="Times New Roman"/>
          <w:b w:val="false"/>
          <w:i w:val="true"/>
          <w:strike w:val="false"/>
          <w:color w:val=""/>
          <w:sz w:val="22"/>
        </w:rPr>
        <w:t>knowing what to do</w:t>
      </w:r>
      <w:r>
        <w:rPr>
          <w:rFonts w:ascii="Times New Roman" w:hAnsi="Times New Roman" w:cs="Times New Roman" w:eastAsia="Times New Roman"/>
          <w:b w:val="false"/>
          <w:i w:val="false"/>
          <w:strike w:val="false"/>
          <w:color w:val=""/>
          <w:sz w:val="22"/>
        </w:rPr>
        <w:t xml:space="preserve">. One important commonality among the 14 cases Rubin, et al. (1985) studied is that the speed, efficiency, and equity of community recovery depended significantly upon local government’s ability to improvise effective recovery strategies. That is, communities recovered more quickly and effectively if they could identify and respond to the specific problems that arose from its unique circumstances. </w:t>
      </w:r>
    </w:p>
    <w:p>
      <w:pPr>
        <w:pStyle w:val=""/>
        <w:jc w:val="both"/>
      </w:pPr>
      <w:r>
        <w:rPr>
          <w:rFonts w:ascii="Times New Roman" w:hAnsi="Times New Roman" w:cs="Times New Roman" w:eastAsia="Times New Roman"/>
          <w:b w:val="false"/>
          <w:i w:val="false"/>
          <w:strike w:val="false"/>
          <w:color w:val=""/>
          <w:sz w:val="22"/>
        </w:rPr>
        <w:t>Rubin and her colleagues’ (Rubin, 1991; Rubin, et al., 1985) research on disaster recovery is consistent with other researchers’ (see Drabek, 1986; Tierney, et al., 2001) findings on emergency response in suggesting that disaster recovery will be facilitated if local government agencies anticipate the most significant recovery demands in terms of their likelihood of occurrence and criticality to the recovery process. Anticipating recovery demands allows local agencies to plan their organizational structures and general strategies before disaster impact and improvise their tactics during recovery rather than improvise the entire recovery effort—organizational structures, strategies, tactics, and operational procedures—during the midst of the emergency response. Similarly, disaster recovery is facilitated if the recovery organization identifies the resources it will need, and the sources of those personnel, equipment, and supplies. Thus, preimpact recovery preparedness will increase emergency managers’ ability to act and enhance the personal leadership exercised during disaster recovery.</w:t>
      </w:r>
    </w:p>
    <w:p>
      <w:pPr>
        <w:pStyle w:val=""/>
        <w:jc w:val="both"/>
      </w:pPr>
      <w:r>
        <w:rPr>
          <w:rFonts w:ascii="Times New Roman" w:hAnsi="Times New Roman" w:cs="Times New Roman" w:eastAsia="Times New Roman"/>
          <w:b w:val="false"/>
          <w:i w:val="false"/>
          <w:strike w:val="false"/>
          <w:color w:val=""/>
          <w:sz w:val="22"/>
        </w:rPr>
        <w:t>Predisaster planning is an excellent way to direct people’s attention to the demands of disaster recovery (Schwab, et al., 1998). These scholars view the recovery process as a set of sequenced tasks that are performed in different locations, rather than distinct phases. There are short term decisions such as where to locate displaced households and how to remove and dispose of debris. There are also long term decisions such as how to finance reconstruction, where to allow rebuilding, and how to revitalize the local economy. According to Schwab, et al. (1998), timely and effective recovery decisions benefit from a predisaster recovery preparedness process that is undertaken at the same time as emergency preparedness, comprehensive planning, and mitigation planning (see Figure 11-3).</w:t>
      </w:r>
    </w:p>
    <w:p>
      <w:pPr>
        <w:pStyle w:val=""/>
        <w:jc w:val="both"/>
      </w:pPr>
      <w:r>
        <w:rPr>
          <w:rFonts w:ascii="Times New Roman" w:hAnsi="Times New Roman" w:cs="Times New Roman" w:eastAsia="Times New Roman"/>
          <w:b w:val="false"/>
          <w:i w:val="false"/>
          <w:strike w:val="false"/>
          <w:color w:val=""/>
          <w:sz w:val="22"/>
        </w:rPr>
        <w:t xml:space="preserve">Developing preimpact plans for disaster recovery allows a community to ensure hazard mitigation and sustainable development are incorporated into recovery. Preimpact recovery plans can help local officials resist postimpact pressure to restore their community to the </w:t>
      </w:r>
      <w:r>
        <w:rPr>
          <w:rFonts w:ascii="Times New Roman" w:hAnsi="Times New Roman" w:cs="Times New Roman" w:eastAsia="Times New Roman"/>
          <w:b w:val="false"/>
          <w:i w:val="true"/>
          <w:strike w:val="false"/>
          <w:color w:val=""/>
          <w:sz w:val="22"/>
        </w:rPr>
        <w:t xml:space="preserve">status quo ante </w:t>
      </w:r>
      <w:r>
        <w:rPr>
          <w:rFonts w:ascii="Times New Roman" w:hAnsi="Times New Roman" w:cs="Times New Roman" w:eastAsia="Times New Roman"/>
          <w:b w:val="false"/>
          <w:i w:val="false"/>
          <w:strike w:val="false"/>
          <w:color w:val=""/>
          <w:sz w:val="22"/>
        </w:rPr>
        <w:t xml:space="preserve">that caused the disaster’s physical and social impacts. By developing disaster resilience, communities can minimize disaster impacts, strengthen their ability to recover with minimal outside assistance, and facilitate the recovery of all population segments and economic sectors. These are complex issues that require time and preparation, both of which are in short supply immediately after a disaster. Preimpact recovery planning provides an excellent opportunity to incorporate sustainable development goals through a process termed “holistic disaster recovery” (Natural Hazards Research and </w:t>
      </w:r>
      <w:r>
        <w:rPr>
          <w:rFonts w:ascii="Times New Roman" w:hAnsi="Times New Roman" w:cs="Times New Roman" w:eastAsia="Times New Roman"/>
          <w:b w:val="false"/>
          <w:i w:val="false"/>
          <w:strike w:val="false"/>
          <w:color w:val=""/>
          <w:sz w:val="22"/>
        </w:rPr>
        <w:t>Applications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Information</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Center</w:t>
      </w:r>
      <w:r>
        <w:rPr>
          <w:rFonts w:ascii="Times New Roman" w:hAnsi="Times New Roman" w:cs="Times New Roman" w:eastAsia="Times New Roman"/>
          <w:b w:val="false"/>
          <w:i w:val="false"/>
          <w:strike w:val="false"/>
          <w:color w:val=""/>
          <w:sz w:val="22"/>
        </w:rPr>
        <w:t>, 2001).</w:t>
      </w:r>
    </w:p>
    <w:p>
      <w:pPr>
        <w:pStyle w:val=""/>
        <w:jc w:val="both"/>
      </w:pPr>
      <w:r>
        <w:rPr>
          <w:rFonts w:ascii="Times New Roman" w:hAnsi="Times New Roman" w:cs="Times New Roman" w:eastAsia="Times New Roman"/>
          <w:b w:val="false"/>
          <w:i w:val="true"/>
          <w:strike w:val="false"/>
          <w:color w:val=""/>
          <w:sz w:val="22"/>
        </w:rPr>
        <w:t>Disaster Recovery Functions</w:t>
      </w:r>
    </w:p>
    <w:p>
      <w:pPr>
        <w:pStyle w:val=""/>
        <w:jc w:val="both"/>
      </w:pPr>
      <w:r>
        <w:rPr>
          <w:rFonts w:ascii="Times New Roman" w:hAnsi="Times New Roman" w:cs="Times New Roman" w:eastAsia="Times New Roman"/>
          <w:b w:val="false"/>
          <w:i w:val="false"/>
          <w:strike w:val="false"/>
          <w:color w:val=""/>
          <w:sz w:val="22"/>
        </w:rPr>
        <w:t xml:space="preserve">The strategic contingencies involved in the recovery process can be represented in terms of a network of tasks that need to be performed by community subunits. As Path A in Figure 11-4 indicates, affected households go through a process that can be described in terms of their movement through emergency shelter, temporary shelter, temporary housing, and permanent housing (Quarantelli, 1982). </w:t>
      </w:r>
    </w:p>
    <w:p>
      <w:pPr>
        <w:pStyle w:val=""/>
        <w:jc w:val="both"/>
      </w:pPr>
      <w:r>
        <w:rPr>
          <w:rFonts w:ascii="Times New Roman" w:hAnsi="Times New Roman" w:cs="Times New Roman" w:eastAsia="Times New Roman"/>
          <w:b w:val="true"/>
          <w:i w:val="false"/>
          <w:strike w:val="false"/>
          <w:color w:val=""/>
          <w:sz w:val="22"/>
        </w:rPr>
        <w:t>Figure 11-3</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The Relationship of Disaster Recovery to other Hazard Management Activities.</w:t>
      </w:r>
    </w:p>
    <w:p>
      <w:pPr>
        <w:pStyle w:val=""/>
        <w:jc w:val="both"/>
      </w:pPr>
      <w:r>
        <w:rPr>
          <w:rFonts w:ascii="Times New Roman" w:hAnsi="Times New Roman" w:cs="Times New Roman" w:eastAsia="Times New Roman"/>
          <w:b w:val="false"/>
          <w:i w:val="false"/>
          <w:strike w:val="false"/>
          <w:color w:val=""/>
          <w:sz w:val="22"/>
        </w:rPr>
        <w:t xml:space="preserve">As Path D indicates, affected businesses pass through a slightly different sequence because they can suspend operations (represented as a dashed line) until they find a temporary operating location. As Path B indicates, households </w:t>
      </w:r>
      <w:r>
        <w:rPr>
          <w:rFonts w:ascii="Times New Roman" w:hAnsi="Times New Roman" w:cs="Times New Roman" w:eastAsia="Times New Roman"/>
          <w:b w:val="false"/>
          <w:i w:val="false"/>
          <w:strike w:val="false"/>
          <w:color w:val=""/>
          <w:sz w:val="22"/>
        </w:rPr>
        <w:t>and</w:t>
      </w:r>
      <w:r>
        <w:rPr>
          <w:rFonts w:ascii="Times New Roman" w:hAnsi="Times New Roman" w:cs="Times New Roman" w:eastAsia="Times New Roman"/>
          <w:b w:val="false"/>
          <w:i w:val="false"/>
          <w:strike w:val="false"/>
          <w:color w:val=""/>
          <w:sz w:val="22"/>
        </w:rPr>
        <w:t xml:space="preserve"> businesses need utilities such as water/wastewater, electric power, fuel, transportation, and telecommunications before they can resume normal operations. Finally, Path C is especially important because disaster assessment and a federal disaster declaration are preconditions for the federal financial aid that the most severely stricken communities need to support the restoration of public infrastructure and the recovery of households and businesses. To explain this figure more completely, the following sections examine household recovery, business recovery, infrastructure restoration, and the disaster declaration process.</w:t>
      </w:r>
    </w:p>
    <w:p>
      <w:pPr>
        <w:pStyle w:val="Heading3"/>
        <w:jc w:val="both"/>
      </w:pPr>
      <w:r>
        <w:rPr>
          <w:rFonts w:ascii="Times New Roman" w:hAnsi="Times New Roman" w:cs="Times New Roman" w:eastAsia="Times New Roman"/>
          <w:b w:val="true"/>
          <w:i w:val="false"/>
          <w:strike w:val="false"/>
          <w:color w:val=""/>
          <w:sz w:val="22"/>
        </w:rPr>
        <w:t>Household Recovery</w:t>
      </w:r>
    </w:p>
    <w:p>
      <w:pPr>
        <w:pStyle w:val=""/>
        <w:jc w:val="both"/>
      </w:pPr>
      <w:r>
        <w:rPr>
          <w:rFonts w:ascii="Times New Roman" w:hAnsi="Times New Roman" w:cs="Times New Roman" w:eastAsia="Times New Roman"/>
          <w:b w:val="false"/>
          <w:i w:val="false"/>
          <w:strike w:val="false"/>
          <w:color w:val=""/>
          <w:sz w:val="22"/>
        </w:rPr>
        <w:t xml:space="preserve">There are three basic components to household recovery. These are housing recovery, employment recovery, and psychological recovery (Bolin &amp; Trainer, 1978). All three of these components </w:t>
      </w:r>
      <w:r>
        <w:rPr>
          <w:rFonts w:ascii="Times New Roman" w:hAnsi="Times New Roman" w:cs="Times New Roman" w:eastAsia="Times New Roman"/>
          <w:b w:val="false"/>
          <w:i w:val="false"/>
          <w:strike w:val="false"/>
          <w:color w:val=""/>
          <w:sz w:val="22"/>
        </w:rPr>
        <w:t>require</w:t>
      </w:r>
      <w:r>
        <w:rPr>
          <w:rFonts w:ascii="Times New Roman" w:hAnsi="Times New Roman" w:cs="Times New Roman" w:eastAsia="Times New Roman"/>
          <w:b w:val="false"/>
          <w:i w:val="false"/>
          <w:strike w:val="false"/>
          <w:color w:val=""/>
          <w:sz w:val="22"/>
        </w:rPr>
        <w:t xml:space="preserve"> resources to recover. However, households must invest time to obtain the</w:t>
      </w:r>
      <w:r>
        <w:rPr>
          <w:rFonts w:ascii="Times New Roman" w:hAnsi="Times New Roman" w:cs="Times New Roman" w:eastAsia="Times New Roman"/>
          <w:b w:val="false"/>
          <w:i w:val="false"/>
          <w:strike w:val="false"/>
          <w:color w:val=""/>
          <w:sz w:val="22"/>
        </w:rPr>
        <w:t>se</w:t>
      </w:r>
      <w:r>
        <w:rPr>
          <w:rFonts w:ascii="Times New Roman" w:hAnsi="Times New Roman" w:cs="Times New Roman" w:eastAsia="Times New Roman"/>
          <w:b w:val="false"/>
          <w:i w:val="false"/>
          <w:strike w:val="false"/>
          <w:color w:val=""/>
          <w:sz w:val="22"/>
        </w:rPr>
        <w:t xml:space="preserve"> resources. This includes time to find and purchase alternate shelter, clothing, food, furniture, and appliances to support daily living (Yelvington, 1997). Time is also needed to file insurance claims, apply for loans and grants, and search for jobs. The time required for these tasks is increased by multiple trips to obtain required documentation and understaffing of providers (Morrow, 1997). FEMA provides telephone registration, but its value was undercut by loss of telephone service after Hurricane Andrew. Moreover, there will be increased commuting time to work, shopping, and services if cars, street signs, traffic signals, and landmarks are destroyed and no public transit is available for weeks. Adding to the time burden is increased cost for many items due to supply scarcities. Finally, victims needed skill and self confidence to cope with the disaster assistance bureaucracy (Morrow, 1997).</w:t>
      </w:r>
    </w:p>
    <w:p>
      <w:pPr>
        <w:pStyle w:val=""/>
        <w:jc w:val="both"/>
      </w:pPr>
      <w:r>
        <w:rPr>
          <w:rFonts w:ascii="Times New Roman" w:hAnsi="Times New Roman" w:cs="Times New Roman" w:eastAsia="Times New Roman"/>
          <w:b w:val="true"/>
          <w:i w:val="false"/>
          <w:strike w:val="false"/>
          <w:color w:val=""/>
          <w:sz w:val="22"/>
        </w:rPr>
        <w:t>Figure 11-4.</w:t>
      </w:r>
      <w:r>
        <w:rPr>
          <w:rFonts w:ascii="Times New Roman" w:hAnsi="Times New Roman" w:cs="Times New Roman" w:eastAsia="Times New Roman"/>
          <w:b w:val="false"/>
          <w:i w:val="false"/>
          <w:strike w:val="false"/>
          <w:color w:val=""/>
          <w:sz w:val="22"/>
        </w:rPr>
        <w:t>The Recovery Management Process.</w:t>
      </w:r>
    </w:p>
    <w:p>
      <w:pPr>
        <w:pStyle w:val=""/>
        <w:jc w:val="both"/>
      </w:pPr>
      <w:r>
        <w:rPr>
          <w:rFonts w:ascii="Times New Roman" w:hAnsi="Times New Roman" w:cs="Times New Roman" w:eastAsia="Times New Roman"/>
          <w:b w:val="false"/>
          <w:i w:val="true"/>
          <w:strike w:val="false"/>
          <w:color w:val=""/>
          <w:sz w:val="22"/>
        </w:rPr>
        <w:t>Housing Recovery</w:t>
      </w:r>
    </w:p>
    <w:p>
      <w:pPr>
        <w:pStyle w:val=""/>
        <w:jc w:val="both"/>
      </w:pPr>
      <w:r>
        <w:rPr>
          <w:rFonts w:ascii="Times New Roman" w:hAnsi="Times New Roman" w:cs="Times New Roman" w:eastAsia="Times New Roman"/>
          <w:b w:val="false"/>
          <w:i w:val="false"/>
          <w:strike w:val="false"/>
          <w:color w:val=""/>
          <w:sz w:val="22"/>
        </w:rPr>
        <w:t xml:space="preserve">Households typically </w:t>
      </w:r>
      <w:r>
        <w:rPr>
          <w:rFonts w:ascii="Times New Roman" w:hAnsi="Times New Roman" w:cs="Times New Roman" w:eastAsia="Times New Roman"/>
          <w:b w:val="false"/>
          <w:i w:val="false"/>
          <w:strike w:val="false"/>
          <w:color w:val=""/>
          <w:sz w:val="22"/>
        </w:rPr>
        <w:t>use</w:t>
      </w:r>
      <w:r>
        <w:rPr>
          <w:rFonts w:ascii="Times New Roman" w:hAnsi="Times New Roman" w:cs="Times New Roman" w:eastAsia="Times New Roman"/>
          <w:b w:val="false"/>
          <w:i w:val="false"/>
          <w:strike w:val="false"/>
          <w:color w:val=""/>
          <w:sz w:val="22"/>
        </w:rPr>
        <w:t xml:space="preserve"> four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of housing recovery following a disaster (Quarantelli, 1982a). The first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emergency shelter</w:t>
      </w:r>
      <w:r>
        <w:rPr>
          <w:rFonts w:ascii="Times New Roman" w:hAnsi="Times New Roman" w:cs="Times New Roman" w:eastAsia="Times New Roman"/>
          <w:b w:val="false"/>
          <w:i w:val="false"/>
          <w:strike w:val="false"/>
          <w:color w:val=""/>
          <w:sz w:val="22"/>
        </w:rPr>
        <w:t xml:space="preserve">, consists of unplanned and spontaneously sought locations that are intended only to provide protection from the elements, typically open yards and cars after earthquakes (Bolin &amp; Stanford, 1991, 1998). The second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shelter</w:t>
      </w:r>
      <w:r>
        <w:rPr>
          <w:rFonts w:ascii="Times New Roman" w:hAnsi="Times New Roman" w:cs="Times New Roman" w:eastAsia="Times New Roman"/>
          <w:b w:val="false"/>
          <w:i w:val="false"/>
          <w:strike w:val="false"/>
          <w:color w:val=""/>
          <w:sz w:val="22"/>
        </w:rPr>
        <w:t xml:space="preserve">, which includes food preparation and sleeping facilities that usually are sought from friends and relatives or are found in commercial lodging, although mass care facilities in school gymnasiums or church auditoriums are acceptable as a last resort. The third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temporary housing</w:t>
      </w:r>
      <w:r>
        <w:rPr>
          <w:rFonts w:ascii="Times New Roman" w:hAnsi="Times New Roman" w:cs="Times New Roman" w:eastAsia="Times New Roman"/>
          <w:b w:val="false"/>
          <w:i w:val="false"/>
          <w:strike w:val="false"/>
          <w:color w:val=""/>
          <w:sz w:val="22"/>
        </w:rPr>
        <w:t xml:space="preserve">, which allows victims to reestablish household routines in nonpreferred locations or structures. The last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is </w:t>
      </w:r>
      <w:r>
        <w:rPr>
          <w:rFonts w:ascii="Times New Roman" w:hAnsi="Times New Roman" w:cs="Times New Roman" w:eastAsia="Times New Roman"/>
          <w:b w:val="false"/>
          <w:i w:val="true"/>
          <w:strike w:val="false"/>
          <w:color w:val=""/>
          <w:sz w:val="22"/>
        </w:rPr>
        <w:t>permanent housing</w:t>
      </w:r>
      <w:r>
        <w:rPr>
          <w:rFonts w:ascii="Times New Roman" w:hAnsi="Times New Roman" w:cs="Times New Roman" w:eastAsia="Times New Roman"/>
          <w:b w:val="false"/>
          <w:i w:val="false"/>
          <w:strike w:val="false"/>
          <w:color w:val=""/>
          <w:sz w:val="22"/>
        </w:rPr>
        <w:t xml:space="preserve">, which reestablishes household routines in preferred locations and structures. The process of housing recovery can, in principle, be described as a stochastic process in which there is a specific probability that a household will move from one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another in a given period of time (Coleman, 1964). This produces a table in which the rows indicate the current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the columns indicate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which households move, and the cell values are the conditional probabilities of households moving from the row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to the column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(see Table 11-3). These conditional probabilities are represented by the mathematical notation P(</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where the symbol P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indicates the probability of event </w:t>
      </w:r>
      <w:r>
        <w:rPr>
          <w:rFonts w:ascii="Times New Roman" w:hAnsi="Times New Roman" w:cs="Times New Roman" w:eastAsia="Times New Roman"/>
          <w:b w:val="false"/>
          <w:i w:val="true"/>
          <w:strike w:val="false"/>
          <w:color w:val=""/>
          <w:sz w:val="22"/>
        </w:rPr>
        <w:t>X</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from</w:t>
      </w:r>
      <w:r>
        <w:rPr>
          <w:rFonts w:ascii="Times New Roman" w:hAnsi="Times New Roman" w:cs="Times New Roman" w:eastAsia="Times New Roman"/>
          <w:b w:val="false"/>
          <w:i w:val="false"/>
          <w:strike w:val="false"/>
          <w:color w:val=""/>
          <w:sz w:val="22"/>
        </w:rPr>
        <w:t xml:space="preserve"> which the household moves,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is the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to</w:t>
      </w:r>
      <w:r>
        <w:rPr>
          <w:rFonts w:ascii="Times New Roman" w:hAnsi="Times New Roman" w:cs="Times New Roman" w:eastAsia="Times New Roman"/>
          <w:b w:val="false"/>
          <w:i w:val="false"/>
          <w:strike w:val="false"/>
          <w:color w:val=""/>
          <w:sz w:val="22"/>
        </w:rPr>
        <w:t xml:space="preserve"> which it moves, and the vertical bar indicates that this is the probability of a household being in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B</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 xml:space="preserve">given that it previously was in </w:t>
      </w:r>
      <w:r>
        <w:rPr>
          <w:rFonts w:ascii="Times New Roman" w:hAnsi="Times New Roman" w:cs="Times New Roman" w:eastAsia="Times New Roman"/>
          <w:b w:val="false"/>
          <w:i w:val="true"/>
          <w:strike w:val="false"/>
          <w:color w:val=""/>
          <w:sz w:val="22"/>
        </w:rPr>
        <w:t>type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true"/>
          <w:strike w:val="false"/>
          <w:color w:val=""/>
          <w:sz w:val="22"/>
        </w:rPr>
        <w:t>A</w:t>
      </w:r>
      <w:r>
        <w:rPr>
          <w:rFonts w:ascii="Times New Roman" w:hAnsi="Times New Roman" w:cs="Times New Roman" w:eastAsia="Times New Roman"/>
          <w:b w:val="false"/>
          <w:i w:val="false"/>
          <w:strike w:val="false"/>
          <w:color w:val=""/>
          <w:sz w:val="22"/>
        </w:rPr>
        <w:t>.</w:t>
      </w:r>
    </w:p>
    <w:p>
      <w:pPr>
        <w:pStyle w:val=""/>
        <w:jc w:val="both"/>
      </w:pPr>
      <w:r>
        <w:rPr>
          <w:rFonts w:ascii="Times New Roman" w:hAnsi="Times New Roman" w:cs="Times New Roman" w:eastAsia="Times New Roman"/>
          <w:b w:val="false"/>
          <w:i w:val="false"/>
          <w:strike w:val="false"/>
          <w:color w:val=""/>
          <w:sz w:val="22"/>
        </w:rPr>
        <w:t xml:space="preserve">Unfortunately, none of the studies of housing recovery following disasters has yet estimated the transition probabilities associated with this process, but qualitative descriptions of the occupancy levels in each of Quarantelli’s four housing </w:t>
      </w:r>
      <w:r>
        <w:rPr>
          <w:rFonts w:ascii="Times New Roman" w:hAnsi="Times New Roman" w:cs="Times New Roman" w:eastAsia="Times New Roman"/>
          <w:b w:val="false"/>
          <w:i w:val="false"/>
          <w:strike w:val="false"/>
          <w:color w:val=""/>
          <w:sz w:val="22"/>
        </w:rPr>
        <w:t>types</w:t>
      </w:r>
      <w:r>
        <w:rPr>
          <w:rFonts w:ascii="Times New Roman" w:hAnsi="Times New Roman" w:cs="Times New Roman" w:eastAsia="Times New Roman"/>
          <w:b w:val="false"/>
          <w:i w:val="false"/>
          <w:strike w:val="false"/>
          <w:color w:val=""/>
          <w:sz w:val="22"/>
        </w:rPr>
        <w:t xml:space="preserve"> suggests that two distinct transition probability matrices distinguish the first week after a major disaster from later time periods. After a disaster strikes, a substantial number of households are forced to seek emergency shelter (</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and in the following days most of them remain in that </w:t>
      </w:r>
      <w:r>
        <w:rPr>
          <w:rFonts w:ascii="Times New Roman" w:hAnsi="Times New Roman" w:cs="Times New Roman" w:eastAsia="Times New Roman"/>
          <w:b w:val="false"/>
          <w:i w:val="false"/>
          <w:strike w:val="false"/>
          <w:color w:val=""/>
          <w:sz w:val="22"/>
        </w:rPr>
        <w:t>type of housing</w:t>
      </w:r>
      <w:r>
        <w:rPr>
          <w:rFonts w:ascii="Times New Roman" w:hAnsi="Times New Roman" w:cs="Times New Roman" w:eastAsia="Times New Roman"/>
          <w:b w:val="false"/>
          <w:i w:val="false"/>
          <w:strike w:val="false"/>
          <w:color w:val=""/>
          <w:sz w:val="22"/>
        </w:rPr>
        <w:t>. Thus, according to the hypothetical probabilities in the table, the probability of remaining in emergency shelter is P(</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0.6). However, a significant proportion of the households move on to temporary shelter (</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making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0.4. None of the households is expected to move directly from emergency shelter to temporary housing (</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or permanent housing (</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ES</w:t>
      </w:r>
      <w:r>
        <w:rPr>
          <w:rFonts w:ascii="Times New Roman" w:hAnsi="Times New Roman" w:cs="Times New Roman" w:eastAsia="Times New Roman"/>
          <w:b w:val="false"/>
          <w:i w:val="false"/>
          <w:strike w:val="false"/>
          <w:color w:val=""/>
          <w:sz w:val="22"/>
        </w:rPr>
        <w:t xml:space="preserve">) = 0.0. In addition, the vast majority of those in temporary shelter remain in that </w:t>
      </w:r>
      <w:r>
        <w:rPr>
          <w:rFonts w:ascii="Times New Roman" w:hAnsi="Times New Roman" w:cs="Times New Roman" w:eastAsia="Times New Roman"/>
          <w:b w:val="false"/>
          <w:i w:val="false"/>
          <w:strike w:val="false"/>
          <w:color w:val=""/>
          <w:sz w:val="22"/>
        </w:rPr>
        <w:t>housing type</w:t>
      </w:r>
      <w:r>
        <w:rPr>
          <w:rFonts w:ascii="Times New Roman" w:hAnsi="Times New Roman" w:cs="Times New Roman" w:eastAsia="Times New Roman"/>
          <w:b w:val="false"/>
          <w:i w:val="false"/>
          <w:strike w:val="false"/>
          <w:color w:val=""/>
          <w:sz w:val="22"/>
        </w:rPr>
        <w:t>, so P(</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0.9, but a small fraction of them move to temporary housing, so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TS</w:t>
      </w:r>
      <w:r>
        <w:rPr>
          <w:rFonts w:ascii="Times New Roman" w:hAnsi="Times New Roman" w:cs="Times New Roman" w:eastAsia="Times New Roman"/>
          <w:b w:val="false"/>
          <w:i w:val="false"/>
          <w:strike w:val="false"/>
          <w:color w:val=""/>
          <w:sz w:val="22"/>
        </w:rPr>
        <w:t>) = 0.1. Similarly, the vast majority of those in temporary housing remain in that status [P(</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but a small fraction </w:t>
      </w:r>
      <w:r>
        <w:rPr>
          <w:rFonts w:ascii="Times New Roman" w:hAnsi="Times New Roman" w:cs="Times New Roman" w:eastAsia="Times New Roman"/>
          <w:b w:val="false"/>
          <w:i w:val="false"/>
          <w:strike w:val="false"/>
          <w:color w:val=""/>
          <w:sz w:val="22"/>
        </w:rPr>
        <w:t>of them move to permanent housing [P(</w:t>
      </w:r>
      <w:r>
        <w:rPr>
          <w:rFonts w:ascii="Times New Roman" w:hAnsi="Times New Roman" w:cs="Times New Roman" w:eastAsia="Times New Roman"/>
          <w:b w:val="false"/>
          <w:i w:val="true"/>
          <w:strike w:val="false"/>
          <w:color w:val=""/>
          <w:sz w:val="22"/>
        </w:rPr>
        <w:t>PH</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true"/>
          <w:strike w:val="false"/>
          <w:color w:val=""/>
          <w:sz w:val="22"/>
        </w:rPr>
        <w:t>TH</w:t>
      </w:r>
      <w:r>
        <w:rPr>
          <w:rFonts w:ascii="Times New Roman" w:hAnsi="Times New Roman" w:cs="Times New Roman" w:eastAsia="Times New Roman"/>
          <w:b w:val="false"/>
          <w:i w:val="false"/>
          <w:strike w:val="false"/>
          <w:color w:val=""/>
          <w:sz w:val="22"/>
        </w:rPr>
        <w:t xml:space="preserve">) = 0.1]. A small fraction of those in permanent housing move from that status to emergency shelter or temporary shelter because of occupants’ fears about structural stability or because building inspections have determined that the structures are indeed unsafe. </w:t>
      </w:r>
    </w:p>
    <w:p>
      <w:pPr>
        <w:pStyle w:val=""/>
        <w:jc w:val="both"/>
      </w:pPr>
      <w:r>
        <w:rPr>
          <w:rFonts w:ascii="Times New Roman" w:hAnsi="Times New Roman" w:cs="Times New Roman" w:eastAsia="Times New Roman"/>
          <w:b w:val="true"/>
          <w:i w:val="false"/>
          <w:strike w:val="false"/>
          <w:color w:val=""/>
          <w:sz w:val="22"/>
        </w:rPr>
        <w:t>Table 11-3</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Hypothetical</w:t>
      </w:r>
      <w:r>
        <w:rPr>
          <w:rFonts w:ascii="Times New Roman" w:hAnsi="Times New Roman" w:cs="Times New Roman" w:eastAsia="Times New Roman"/>
          <w:b w:val="false"/>
          <w:i w:val="false"/>
          <w:strike w:val="false"/>
          <w:color w:val=""/>
          <w:sz w:val="22"/>
        </w:rPr>
        <w:t xml:space="preserve"> Daily Housing Status Transition Probabilities.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r>
        <w:rPr>
          <w:rFonts w:ascii="Times New Roman" w:hAnsi="Times New Roman" w:cs="Times New Roman" w:eastAsia="Times New Roman"/>
          <w:b w:val="false"/>
          <w:i w:val="false"/>
          <w:strike w:val="false"/>
          <w:color w:val=""/>
          <w:sz w:val="22"/>
        </w:rPr>
        <w:t xml:space="preserve">According to these hypothetical probabilities, Weeks 2 and beyond differ from Week 1 in two respects. First, the rate at which households move from emergency shelter to temporary shelter is higher in Week 2 than in Week 1. Second, the rates at which households move from permanent housing to emergency shelter and temporary shelter is lower than in Week 1. These transition probabilities can be used to generate a distribution over time of the postdisaster housing status of the impact area population (see Figure 11-5). </w:t>
      </w:r>
    </w:p>
    <w:p>
      <w:pPr>
        <w:pStyle w:val=""/>
        <w:jc w:val="both"/>
      </w:pPr>
      <w:r>
        <w:rPr>
          <w:rFonts w:ascii="Times New Roman" w:hAnsi="Times New Roman" w:cs="Times New Roman" w:eastAsia="Times New Roman"/>
          <w:b w:val="false"/>
          <w:i w:val="false"/>
          <w:strike w:val="false"/>
          <w:color w:val=""/>
          <w:sz w:val="22"/>
        </w:rPr>
        <w:t xml:space="preserve">This figure shows that the utilization of emergency shelter peaks on the day of the disaster and declines rapidly thereafter. However, this decrease in the utilization of emergency shelter does not produce immediate increases in occupancy rates for permanent shelter. Indeed, the proportion of the affected population in permanent shelter continues to decline because many households must move to this state through the two intermediate housing </w:t>
      </w:r>
      <w:r>
        <w:rPr>
          <w:rFonts w:ascii="Times New Roman" w:hAnsi="Times New Roman" w:cs="Times New Roman" w:eastAsia="Times New Roman"/>
          <w:b w:val="false"/>
          <w:i w:val="false"/>
          <w:strike w:val="false"/>
          <w:color w:val=""/>
          <w:sz w:val="22"/>
        </w:rPr>
        <w:t>type</w:t>
      </w:r>
      <w:r>
        <w:rPr>
          <w:rFonts w:ascii="Times New Roman" w:hAnsi="Times New Roman" w:cs="Times New Roman" w:eastAsia="Times New Roman"/>
          <w:b w:val="false"/>
          <w:i w:val="false"/>
          <w:strike w:val="false"/>
          <w:color w:val=""/>
          <w:sz w:val="22"/>
        </w:rPr>
        <w:t xml:space="preserve">s. Thus, the transition probabilities in Table 11-3 result in the displaced population continuing to rise, reaching a delayed peak some days after impact. These results are generally consistent with Bolin’s (1993) finding that it took nine days for shelter occupancy to peak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Narrows</w:t>
      </w:r>
      <w:r>
        <w:rPr>
          <w:rFonts w:ascii="Times New Roman" w:hAnsi="Times New Roman" w:cs="Times New Roman" w:eastAsia="Times New Roman"/>
          <w:b w:val="false"/>
          <w:i w:val="false"/>
          <w:strike w:val="false"/>
          <w:color w:val=""/>
          <w:sz w:val="22"/>
        </w:rPr>
        <w:t xml:space="preserve"> earthquake. Other support can be found in data from Hurricane Andrew. Yelvington (1997) reported that temporary shelters experienced increased demand as buildings were condemned by authorities or landlords begin reconstruction on damaged structures. On 4 September, 10 days after Hurricane Andrew, there were 41 people at Harris Field and 58 people at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Three days later the figures were 1125 and 467, respectively. By the end of September, there were more than 4000 people in four tent cities.</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 xml:space="preserve">ites for temporary shelter include homes of friends and relatives, commercial facilities such as hotels and motels, and mass care facilities such as Red Cross shelters. Lindell, et al. (2004) reported that during Hurricane Lili 3% of evacuees stayed in Red Cross shelters, 30% in hotels and motels, and 53% with friends and relatives. The percentage staying in shelters averages 15% but </w:t>
      </w:r>
      <w:r>
        <w:rPr>
          <w:rFonts w:ascii="Times New Roman" w:hAnsi="Times New Roman" w:cs="Times New Roman" w:eastAsia="Times New Roman"/>
          <w:b w:val="false"/>
          <w:i w:val="false"/>
          <w:strike w:val="false"/>
          <w:color w:val=""/>
          <w:sz w:val="22"/>
        </w:rPr>
        <w:t>rang</w:t>
      </w:r>
      <w:r>
        <w:rPr>
          <w:rFonts w:ascii="Times New Roman" w:hAnsi="Times New Roman" w:cs="Times New Roman" w:eastAsia="Times New Roman"/>
          <w:b w:val="false"/>
          <w:i w:val="false"/>
          <w:strike w:val="false"/>
          <w:color w:val=""/>
          <w:sz w:val="22"/>
        </w:rPr>
        <w:t xml:space="preserve">es from less than 1% to over 43% (Mileti, et al., 1992). The location where a household seeks temporary shelter is relatively predictable. Severity of damage and the availability of relatives nearby predict who stays with relatives, whereas income, homeownership, and availability of relatives nearby predicts who accepts relatives (Morrow, 1997). Moreover, kin networks are likely to seek temporary shelter together, especially if all relatives became victims because they lived so close together (Yelvington, 1997). Households with higher </w:t>
      </w:r>
      <w:r>
        <w:rPr>
          <w:rFonts w:ascii="Times New Roman" w:hAnsi="Times New Roman" w:cs="Times New Roman" w:eastAsia="Times New Roman"/>
          <w:b w:val="false"/>
          <w:i w:val="false"/>
          <w:strike w:val="false"/>
          <w:color w:val=""/>
          <w:sz w:val="22"/>
        </w:rPr>
        <w:t>incomes who lack nearby friends and relatives with undamaged homes seek commercial facilities, whereas lower income households in such conditions are forced to accept mass care facilities.</w:t>
      </w:r>
    </w:p>
    <w:p>
      <w:pPr>
        <w:pStyle w:val=""/>
        <w:jc w:val="both"/>
      </w:pPr>
      <w:r>
        <w:rPr>
          <w:rFonts w:ascii="Times New Roman" w:hAnsi="Times New Roman" w:cs="Times New Roman" w:eastAsia="Times New Roman"/>
          <w:b w:val="true"/>
          <w:i w:val="false"/>
          <w:strike w:val="false"/>
          <w:color w:val=""/>
          <w:sz w:val="22"/>
        </w:rPr>
        <w:t>Figure 11-5.</w:t>
      </w:r>
      <w:r>
        <w:rPr>
          <w:rFonts w:ascii="Times New Roman" w:hAnsi="Times New Roman" w:cs="Times New Roman" w:eastAsia="Times New Roman"/>
          <w:b w:val="false"/>
          <w:i w:val="false"/>
          <w:strike w:val="false"/>
          <w:color w:val=""/>
          <w:sz w:val="22"/>
        </w:rPr>
        <w:t xml:space="preserve"> Impact Area Residents’ Changes in Housing Status over Time.</w:t>
      </w:r>
    </w:p>
    <w:p>
      <w:pPr>
        <w:pStyle w:val=""/>
        <w:jc w:val="both"/>
      </w:pPr>
      <w:r>
        <w:rPr>
          <w:rFonts w:ascii="Times New Roman" w:hAnsi="Times New Roman" w:cs="Times New Roman" w:eastAsia="Times New Roman"/>
          <w:b w:val="false"/>
          <w:i w:val="false"/>
          <w:strike w:val="false"/>
          <w:color w:val=""/>
          <w:sz w:val="22"/>
        </w:rPr>
        <w:t xml:space="preserve">Areas with large minority populations can pose problems for disaster assistance administrators because of their extended households (Bolin, 1993; Yelvington, 1997). Some are multigenerational (grandparents, parents, and children), whereas others are multinuclear kinship (linked by siblings) or multinuclear friendship (originating from the same town or province). These complex household structures create problems in identifying a single </w:t>
      </w:r>
      <w:r>
        <w:rPr>
          <w:rFonts w:ascii="Times New Roman" w:hAnsi="Times New Roman" w:cs="Times New Roman" w:eastAsia="Times New Roman"/>
          <w:b w:val="false"/>
          <w:i w:val="true"/>
          <w:strike w:val="false"/>
          <w:color w:val=""/>
          <w:sz w:val="22"/>
        </w:rPr>
        <w:t xml:space="preserve">head of household </w:t>
      </w:r>
      <w:r>
        <w:rPr>
          <w:rFonts w:ascii="Times New Roman" w:hAnsi="Times New Roman" w:cs="Times New Roman" w:eastAsia="Times New Roman"/>
          <w:b w:val="false"/>
          <w:i w:val="false"/>
          <w:strike w:val="false"/>
          <w:color w:val=""/>
          <w:sz w:val="22"/>
        </w:rPr>
        <w:t xml:space="preserve">to whom an assistance check can be issued. In addition to the normal reluctance to seek mass shelter and housing, some </w:t>
      </w:r>
      <w:r>
        <w:rPr>
          <w:rFonts w:ascii="Times New Roman" w:hAnsi="Times New Roman" w:cs="Times New Roman" w:eastAsia="Times New Roman"/>
          <w:b w:val="false"/>
          <w:i w:val="false"/>
          <w:strike w:val="false"/>
          <w:color w:val=""/>
          <w:sz w:val="22"/>
        </w:rPr>
        <w:t>victims</w:t>
      </w:r>
      <w:r>
        <w:rPr>
          <w:rFonts w:ascii="Times New Roman" w:hAnsi="Times New Roman" w:cs="Times New Roman" w:eastAsia="Times New Roman"/>
          <w:b w:val="false"/>
          <w:i w:val="false"/>
          <w:strike w:val="false"/>
          <w:color w:val=""/>
          <w:sz w:val="22"/>
        </w:rPr>
        <w:t xml:space="preserve"> hesitate to approach authorities because they have no immigration documents (Yelvington, 1997).</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r>
        <w:rPr>
          <w:rFonts w:ascii="Arial" w:hAnsi="Arial" w:cs="Arial" w:eastAsia="Arial"/>
          <w:b w:val="false"/>
          <w:i w:val="false"/>
          <w:strike w:val="false"/>
          <w:color w:val=""/>
          <w:sz w:val="18"/>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rPr>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false"/>
          <w:i w:val="false"/>
          <w:strike w:val="false"/>
          <w:color w:val=""/>
          <w:sz w:val="22"/>
        </w:rPr>
        <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tru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Heading1"/>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true"/>
          <w:i w:val="false"/>
          <w:strike w:val="false"/>
          <w:color w:val=""/>
          <w:sz w:val="22"/>
        </w:rPr>
        <w:t/>
      </w:r>
      <w:r>
        <w:rPr>
          <w:rFonts w:ascii="" w:hAnsi="" w:cs="" w:eastAsia=""/>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Arial" w:hAnsi="Arial" w:cs="Arial" w:eastAsia="Arial"/>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true"/>
          <w:strike w:val="false"/>
          <w:color w:val=""/>
          <w:sz w:val="22"/>
        </w:rPr>
        <w:t/>
      </w: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BodyTextIndent2"/>
        <w:jc w:val="both"/>
      </w:pPr>
      <w:r>
        <w:rPr>
          <w:rFonts w:ascii="" w:hAnsi="" w:cs="" w:eastAsia=""/>
          <w:b w:val="false"/>
          <w:i w:val="true"/>
          <w:strike w:val="false"/>
          <w:color w:val=""/>
          <w:sz w:val="22"/>
        </w:rPr>
        <w:t/>
      </w:r>
      <w:r>
        <w:rPr>
          <w:rFonts w:ascii="" w:hAnsi="" w:cs="" w:eastAsia=""/>
          <w:b w:val="false"/>
          <w:i w:val="false"/>
          <w:strike w:val="false"/>
          <w:color w:val=""/>
          <w:sz w:val="22"/>
        </w:rPr>
        <w:t/>
      </w:r>
    </w:p>
    <w:p>
      <w:pPr>
        <w:pStyle w:val=""/>
        <w:jc w:val="both"/>
      </w:pPr>
      <w:r>
        <w:rPr>
          <w:rFonts w:ascii="Times New Roman" w:hAnsi="Times New Roman" w:cs="Times New Roman" w:eastAsia="Times New Roman"/>
          <w:b w:val="true"/>
          <w:i w:val="false"/>
          <w:strike w:val="false"/>
          <w:color w:val=""/>
          <w:sz w:val="22"/>
        </w:rPr>
        <w:t/>
      </w:r>
      <w:r>
        <w:rPr>
          <w:rFonts w:ascii="Times New Roman" w:hAnsi="Times New Roman" w:cs="Times New Roman" w:eastAsia="Times New Roman"/>
          <w:b w:val="tru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r>
        <w:rPr>
          <w:rFonts w:ascii="Times New Roman" w:hAnsi="Times New Roman" w:cs="Times New Roman" w:eastAsia="Times New Roman"/>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2018-05-09T20:20:06Z</dcterms:created>
  <dc:creator>Apache POI</dc:creator>
</cp:coreProperties>
</file>