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Heading1"/>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r>
        <w:rPr>
          <w:rFonts w:ascii="Arial" w:hAnsi="Arial" w:cs="Arial" w:eastAsia="Arial"/>
          <w:b w:val="false"/>
          <w:i w:val="false"/>
          <w:strike w:val="false"/>
          <w:color w:val=""/>
          <w:sz w:val="18"/>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true"/>
          <w:i w:val="false"/>
          <w:strike w:val="false"/>
          <w:color w:val="000000"/>
          <w:sz w:val="22"/>
        </w:rPr>
        <w:t/>
      </w:r>
      <w:r>
        <w:rPr>
          <w:rFonts w:ascii="Times New Roman" w:hAnsi="Times New Roman" w:cs="Times New Roman" w:eastAsia="Times New Roman"/>
          <w:b w:val="false"/>
          <w:i w:val="false"/>
          <w:strike w:val="false"/>
          <w:color w:val="000000"/>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3"/>
        <w:jc w:val="both"/>
      </w:pP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er"/>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er"/>
        <w:jc w:val="both"/>
      </w:pPr>
      <w:r>
        <w:rPr>
          <w:rFonts w:ascii="Times New Roman" w:hAnsi="Times New Roman" w:cs="Times New Roman" w:eastAsia="Times New Roman"/>
          <w:b w:val="false"/>
          <w:i w:val="true"/>
          <w:strike w:val="false"/>
          <w:color w:val=""/>
          <w:sz w:val="22"/>
        </w:rPr>
        <w:t/>
      </w:r>
    </w:p>
    <w:p>
      <w:pPr>
        <w:pStyle w:val="Header"/>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Arial" w:hAnsi="Arial" w:cs="Arial" w:eastAsia="Arial"/>
          <w:b w:val="false"/>
          <w:i w:val="false"/>
          <w:strike w:val="false"/>
          <w:color w:val=""/>
          <w:sz w:val="18"/>
        </w:rPr>
        <w:t/>
      </w:r>
      <w:r>
        <w:rPr>
          <w:rFonts w:ascii="Arial" w:hAnsi="Arial" w:cs="Arial" w:eastAsia="Arial"/>
          <w:b w:val="false"/>
          <w:i w:val="false"/>
          <w:strike w:val="false"/>
          <w:color w:val=""/>
          <w:sz w:val="18"/>
        </w:rPr>
        <w:t/>
      </w:r>
      <w:r>
        <w:rPr>
          <w:rFonts w:ascii="Arial" w:hAnsi="Arial" w:cs="Arial" w:eastAsia="Arial"/>
          <w:b w:val="false"/>
          <w:i w:val="false"/>
          <w:strike w:val="false"/>
          <w:color w:val=""/>
          <w:sz w:val="18"/>
        </w:rPr>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rPr>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ll decreases in sales after disaster impact and return quickly to their predisaster levels (Figure 11-7a). The second case consists of businesses that also are in the impact area, but have moderate vulnerability. Such businesses—large manufacturers, for example—experience a larger initial drop in their sales levels and their recovery takes a longer time (Figure 11-7b). Tourism oriented businesses may also suffer initial losses and take some time to recover to their prior level of profitability because they may be stigmatized in the aftermath of a disaster and can take several seasons to shed the image of danger</w:t>
      </w:r>
      <w:r>
        <w:rPr>
          <w:rFonts w:ascii="" w:hAnsi="" w:cs="" w:eastAsia=""/>
          <w:b w:val="false"/>
          <w:i w:val="false"/>
          <w:strike w:val="false"/>
          <w:color w:val=""/>
          <w:sz w:val="22"/>
        </w:rPr>
        <w:t xml:space="preserve"> and destruction</w:t>
      </w:r>
      <w:r>
        <w:rPr>
          <w:rFonts w:ascii="" w:hAnsi="" w:cs="" w:eastAsia=""/>
          <w:b w:val="false"/>
          <w:i w:val="false"/>
          <w:strike w:val="false"/>
          <w:color w:val=""/>
          <w:sz w:val="22"/>
        </w:rPr>
        <w:t xml:space="preserve">. </w:t>
      </w:r>
    </w:p>
    <w:p>
      <w:pPr>
        <w:pStyle w:val="BodyTextIndent2"/>
        <w:jc w:val="both"/>
      </w:pPr>
      <w:r>
        <w:rPr>
          <w:rFonts w:ascii="" w:hAnsi="" w:cs="" w:eastAsia=""/>
          <w:b w:val="false"/>
          <w:i w:val="false"/>
          <w:strike w:val="false"/>
          <w:color w:val=""/>
          <w:sz w:val="22"/>
        </w:rPr>
        <w:t>By contrast, the third case consists of businesses that experience initial sales losses because they are inside (thus experiencing direct losses) or near (thus experiencing indirect losses) the impact area. However, they later experience an increase in demand for their products/services during disaster aftermath (Figure 11-7c). Recovery–related businesses in the building construction, construction materials, and hospitality (e.g., hotels and restaurants) industries exemplify a pattern in which an initial loss (e.g., due to minor damage or infrastructure disruption) is rapidly restored and followed by increased sales. The final case describes recovery related businesses that are just outside the impact area. Not only do they avoid any initial losses, but they also can take advantage of expanded demand in the disaster stricken community and reap gains in the aftermath of the disaster (Figure 11-7d).</w:t>
      </w:r>
    </w:p>
    <w:p>
      <w:pPr>
        <w:pStyle w:val=""/>
        <w:jc w:val="both"/>
      </w:pPr>
      <w:r>
        <w:rPr>
          <w:rFonts w:ascii="Times New Roman" w:hAnsi="Times New Roman" w:cs="Times New Roman" w:eastAsia="Times New Roman"/>
          <w:b w:val="false"/>
          <w:i w:val="false"/>
          <w:strike w:val="false"/>
          <w:color w:val=""/>
          <w:sz w:val="22"/>
        </w:rPr>
        <w:t xml:space="preserve">Although the available data are limited, some of these principles are revealed in data from business recovery in two communities affected by Hurricane Andrew (Dash, et al., 1997).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had a larger population, a higher per capita income, and a higher average home value than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was 42% Angl</w:t>
      </w:r>
      <w:r>
        <w:rPr>
          <w:rFonts w:ascii="Times New Roman" w:hAnsi="Times New Roman" w:cs="Times New Roman" w:eastAsia="Times New Roman"/>
          <w:b w:val="false"/>
          <w:i w:val="false"/>
          <w:strike w:val="false"/>
          <w:color w:val=""/>
          <w:sz w:val="22"/>
        </w:rPr>
        <w:t>o and 35</w:t>
      </w:r>
      <w:r>
        <w:rPr>
          <w:rFonts w:ascii="Times New Roman" w:hAnsi="Times New Roman" w:cs="Times New Roman" w:eastAsia="Times New Roman"/>
          <w:b w:val="false"/>
          <w:i w:val="false"/>
          <w:strike w:val="false"/>
          <w:color w:val=""/>
          <w:sz w:val="22"/>
        </w:rPr>
        <w:t xml:space="preserve">% Hispanic, whereas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was 61% Black and 37% Hispanic. Even though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is slightly farther from the point at which the hurricane eye made landfall, there was essentially no initial difference in the hurricane’s impact on the two city’s businesses. The overall commercial property loss after the hurricane was 29%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and 32%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However, Table 11-5 describes the business impacts of the hurricane in terms of the changes in the number of businesses, number of employees, and sales volume in each of the industries operating in these cities.</w:t>
      </w:r>
    </w:p>
    <w:p>
      <w:pPr>
        <w:pStyle w:val=""/>
        <w:jc w:val="both"/>
      </w:pPr>
      <w:r>
        <w:rPr>
          <w:rFonts w:ascii="Times New Roman" w:hAnsi="Times New Roman" w:cs="Times New Roman" w:eastAsia="Times New Roman"/>
          <w:b w:val="false"/>
          <w:i w:val="false"/>
          <w:strike w:val="false"/>
          <w:color w:val=""/>
          <w:sz w:val="22"/>
        </w:rPr>
        <w:t xml:space="preserve">Overall, there were significant differences in the two communities over the next year. For example, total sales volume declined 83%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but only 1.1%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However, inspection of Table 11-5 reveals that there are distinct differences from one industry to another and the magnitude of the impact depends on whether one examines the change in the number of businesses, the number of employees, or sales volume. For example,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shows dramatic declines for agriculture on all three indicators but no change or even modest increases in construction. By contrast,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showed a slight increase in the number of agricultural businesses, but significant increases in the number of agricultural jobs and sales volume. Moreover, it experienced significant declines for all three indicators in construction—almost the opposite pattern of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These differences in business impacts indicate local authorities should carefully assess the businesses in their communities before a disaster strikes and monitor their economic viability in the disaster’s aftermath to determine if government intervention is needed. </w:t>
      </w:r>
    </w:p>
    <w:p>
      <w:pPr>
        <w:pStyle w:val="Heading1"/>
        <w:jc w:val="both"/>
      </w:pPr>
      <w:r>
        <w:rPr>
          <w:rFonts w:ascii="Times New Roman" w:hAnsi="Times New Roman" w:cs="Times New Roman" w:eastAsia="Times New Roman"/>
          <w:b w:val="false"/>
          <w:i w:val="false"/>
          <w:strike w:val="false"/>
          <w:color w:val=""/>
          <w:sz w:val="22"/>
        </w:rPr>
        <w:t>The Role of State and Federal Governments</w:t>
      </w:r>
    </w:p>
    <w:p>
      <w:pPr>
        <w:pStyle w:val="BodyTextIndent2"/>
        <w:jc w:val="both"/>
      </w:pPr>
      <w:r>
        <w:rPr>
          <w:rFonts w:ascii="" w:hAnsi="" w:cs="" w:eastAsia=""/>
          <w:b w:val="false"/>
          <w:i w:val="false"/>
          <w:strike w:val="false"/>
          <w:color w:val=""/>
          <w:sz w:val="22"/>
        </w:rPr>
        <w:t xml:space="preserve">State and federal agencies can play significant roles in disaster recovery, but the burden most frequently falls on local governments because only about 19% of all disasters receive state disaster declarations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1% qualify for </w:t>
      </w:r>
      <w:r>
        <w:rPr>
          <w:rFonts w:ascii="" w:hAnsi="" w:cs="" w:eastAsia=""/>
          <w:b w:val="false"/>
          <w:i w:val="false"/>
          <w:strike w:val="false"/>
          <w:color w:val=""/>
          <w:sz w:val="22"/>
        </w:rPr>
        <w:t>Presidential Disaster Declarations (</w:t>
      </w:r>
      <w:r>
        <w:rPr>
          <w:rFonts w:ascii="" w:hAnsi="" w:cs="" w:eastAsia=""/>
          <w:b w:val="false"/>
          <w:i w:val="false"/>
          <w:strike w:val="false"/>
          <w:color w:val=""/>
          <w:sz w:val="22"/>
        </w:rPr>
        <w:t>PDDs</w:t>
      </w:r>
      <w:r>
        <w:rPr>
          <w:rFonts w:ascii="" w:hAnsi="" w:cs="" w:eastAsia=""/>
          <w:b w:val="false"/>
          <w:i w:val="false"/>
          <w:strike w:val="false"/>
          <w:color w:val=""/>
          <w:sz w:val="22"/>
        </w:rPr>
        <w:t>)</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tru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BodyTextIndent2"/>
        <w:jc w:val="both"/>
      </w:pP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true"/>
          <w:i w:val="false"/>
          <w:strike w:val="false"/>
          <w:color w:val=""/>
          <w:sz w:val="22"/>
        </w:rPr>
        <w:t/>
      </w:r>
      <w:r>
        <w:rPr>
          <w:rFonts w:ascii="" w:hAnsi="" w:cs="" w:eastAsia=""/>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true"/>
          <w:strike w:val="false"/>
          <w:color w:val=""/>
          <w:sz w:val="22"/>
        </w:rPr>
        <w:t/>
      </w:r>
      <w:r>
        <w:rPr>
          <w:rFonts w:ascii="Arial" w:hAnsi="Arial" w:cs="Arial" w:eastAsia="Arial"/>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2018-05-09T20:20:07Z</dcterms:created>
  <dc:creator>Apache POI</dc:creator>
</cp:coreProperties>
</file>