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Heading1"/>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r>
        <w:rPr>
          <w:rFonts w:ascii="Arial" w:hAnsi="Arial" w:cs="Arial" w:eastAsia="Arial"/>
          <w:b w:val="false"/>
          <w:i w:val="false"/>
          <w:strike w:val="false"/>
          <w:color w:val=""/>
          <w:sz w:val="18"/>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true"/>
          <w:i w:val="false"/>
          <w:strike w:val="false"/>
          <w:color w:val="000000"/>
          <w:sz w:val="22"/>
        </w:rPr>
        <w:t/>
      </w:r>
      <w:r>
        <w:rPr>
          <w:rFonts w:ascii="Times New Roman" w:hAnsi="Times New Roman" w:cs="Times New Roman" w:eastAsia="Times New Roman"/>
          <w:b w:val="false"/>
          <w:i w:val="false"/>
          <w:strike w:val="false"/>
          <w:color w:val="000000"/>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true"/>
          <w:strike w:val="false"/>
          <w:color w:val="000000"/>
          <w:sz w:val="22"/>
        </w:rPr>
        <w:t/>
      </w:r>
      <w:r>
        <w:rPr>
          <w:rFonts w:ascii="Times New Roman" w:hAnsi="Times New Roman" w:cs="Times New Roman" w:eastAsia="Times New Roman"/>
          <w:b w:val="false"/>
          <w:i w:val="false"/>
          <w:strike w:val="false"/>
          <w:color w:val="000000"/>
          <w:sz w:val="22"/>
        </w:rPr>
        <w:t/>
      </w:r>
    </w:p>
    <w:p>
      <w:pPr>
        <w:pStyle w:val=""/>
        <w:jc w:val="both"/>
      </w:pPr>
      <w:r>
        <w:rPr>
          <w:rFonts w:ascii="Times New Roman" w:hAnsi="Times New Roman" w:cs="Times New Roman" w:eastAsia="Times New Roman"/>
          <w:b w:val="false"/>
          <w:i w:val="false"/>
          <w:strike w:val="false"/>
          <w:color w:val="000000"/>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3"/>
        <w:jc w:val="both"/>
      </w:pP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er"/>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er"/>
        <w:jc w:val="both"/>
      </w:pPr>
      <w:r>
        <w:rPr>
          <w:rFonts w:ascii="Times New Roman" w:hAnsi="Times New Roman" w:cs="Times New Roman" w:eastAsia="Times New Roman"/>
          <w:b w:val="false"/>
          <w:i w:val="true"/>
          <w:strike w:val="false"/>
          <w:color w:val=""/>
          <w:sz w:val="22"/>
        </w:rPr>
        <w:t/>
      </w:r>
    </w:p>
    <w:p>
      <w:pPr>
        <w:pStyle w:val="Header"/>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Arial" w:hAnsi="Arial" w:cs="Arial" w:eastAsia="Arial"/>
          <w:b w:val="false"/>
          <w:i w:val="false"/>
          <w:strike w:val="false"/>
          <w:color w:val=""/>
          <w:sz w:val="18"/>
        </w:rPr>
        <w:t/>
      </w:r>
      <w:r>
        <w:rPr>
          <w:rFonts w:ascii="Arial" w:hAnsi="Arial" w:cs="Arial" w:eastAsia="Arial"/>
          <w:b w:val="false"/>
          <w:i w:val="false"/>
          <w:strike w:val="false"/>
          <w:color w:val=""/>
          <w:sz w:val="18"/>
        </w:rPr>
        <w:t/>
      </w:r>
      <w:r>
        <w:rPr>
          <w:rFonts w:ascii="Arial" w:hAnsi="Arial" w:cs="Arial" w:eastAsia="Arial"/>
          <w:b w:val="false"/>
          <w:i w:val="false"/>
          <w:strike w:val="false"/>
          <w:color w:val=""/>
          <w:sz w:val="18"/>
        </w:rPr>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xml:space="preserve">down in the aftermath of a disaster. For example, Tierney (1997b) reported that extensive lifeline service interruption after the 1993 Midwest floods caused a large number of business closures in </w:t>
      </w:r>
      <w:r>
        <w:rPr>
          <w:rFonts w:ascii="Times New Roman" w:hAnsi="Times New Roman" w:cs="Times New Roman" w:eastAsia="Times New Roman"/>
          <w:b w:val="false"/>
          <w:i w:val="false"/>
          <w:strike w:val="false"/>
          <w:color w:val=""/>
          <w:sz w:val="22"/>
        </w:rPr>
        <w:t>Des Moines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Iowa</w:t>
      </w:r>
      <w:r>
        <w:rPr>
          <w:rFonts w:ascii="Times New Roman" w:hAnsi="Times New Roman" w:cs="Times New Roman" w:eastAsia="Times New Roman"/>
          <w:b w:val="false"/>
          <w:i w:val="false"/>
          <w:strike w:val="false"/>
          <w:color w:val=""/>
          <w:sz w:val="22"/>
        </w:rPr>
        <w:t xml:space="preserve">, even though the physical damage was confined to a relatively small area. </w:t>
      </w:r>
    </w:p>
    <w:p>
      <w:pPr>
        <w:pStyle w:val=""/>
        <w:jc w:val="both"/>
      </w:pPr>
      <w:r>
        <w:rPr>
          <w:rFonts w:ascii="" w:hAnsi="" w:cs="" w:eastAsia=""/>
          <w:b w:val="true"/>
          <w:i w:val="false"/>
          <w:strike w:val="false"/>
          <w:color w:val=""/>
          <w:sz w:val="22"/>
        </w:rPr>
        <w:t>Table 11-4</w:t>
      </w:r>
      <w:r>
        <w:rPr>
          <w:rFonts w:ascii="" w:hAnsi="" w:cs="" w:eastAsia=""/>
          <w:b w:val="false"/>
          <w:i w:val="false"/>
          <w:strike w:val="false"/>
          <w:color w:val=""/>
          <w:sz w:val="22"/>
        </w:rPr>
        <w:t>. Household Recovery Problems, by Ethnic Group.</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r>
        <w:rPr>
          <w:rFonts w:ascii="Arial" w:hAnsi="Arial" w:cs="Arial" w:eastAsia="Arial"/>
          <w:b w:val="false"/>
          <w:i w:val="false"/>
          <w:strike w:val="false"/>
          <w:color w:val=""/>
          <w:sz w:val="18"/>
        </w:rPr>
        <w:t>Source: Morrow (1997)  Difference between highest and lowest percentage significant at p &lt; .05.</w:t>
      </w:r>
    </w:p>
    <w:p>
      <w:pPr>
        <w:pStyle w:val="BodyTextIndent2"/>
        <w:jc w:val="both"/>
      </w:pPr>
      <w:r>
        <w:rPr>
          <w:rFonts w:ascii="" w:hAnsi="" w:cs="" w:eastAsia=""/>
          <w:b w:val="false"/>
          <w:i w:val="false"/>
          <w:strike w:val="false"/>
          <w:color w:val=""/>
          <w:sz w:val="22"/>
        </w:rPr>
        <w:t xml:space="preserve">Small businesses are more physically vulnerable because they are more likely than large businesses to be located in nonengineered buildings and are less likely to have the capacity to design and implement hazard management programs to reduce this physical vulnerability. Thus, in this respect, small businesses are equivalent to the most physically vulnerable households—ones that are poor, female headed, or members of ethnic minorities. At the same time as they face increased costs to repair structures and replace contents, these businesses also face reduced patronage if they must move far from their previous locations. Three years after the </w:t>
      </w:r>
      <w:r>
        <w:rPr>
          <w:rFonts w:ascii="" w:hAnsi="" w:cs="" w:eastAsia=""/>
          <w:b w:val="false"/>
          <w:i w:val="false"/>
          <w:strike w:val="false"/>
          <w:color w:val=""/>
          <w:sz w:val="22"/>
        </w:rPr>
        <w:t>Whittier</w:t>
      </w:r>
      <w:r>
        <w:rPr>
          <w:rFonts w:ascii="" w:hAnsi="" w:cs="" w:eastAsia=""/>
          <w:b w:val="false"/>
          <w:i w:val="false"/>
          <w:strike w:val="false"/>
          <w:color w:val=""/>
          <w:sz w:val="22"/>
        </w:rPr>
        <w:t xml:space="preserve"> earthquake, 50% of destroyed commercial space and 100% of damaged commercial space had been replaced (Bolin, 1993). In the meantime, however, a number of businesses in the old central business district—predominantly located in unreinforced masonry structures—were forced to relocate. Because </w:t>
      </w:r>
      <w:r>
        <w:rPr>
          <w:rFonts w:ascii="" w:hAnsi="" w:cs="" w:eastAsia=""/>
          <w:b w:val="false"/>
          <w:i w:val="false"/>
          <w:strike w:val="false"/>
          <w:color w:val=""/>
          <w:sz w:val="22"/>
        </w:rPr>
        <w:t>Whittier</w:t>
      </w:r>
      <w:r>
        <w:rPr>
          <w:rFonts w:ascii="" w:hAnsi="" w:cs="" w:eastAsia=""/>
          <w:b w:val="false"/>
          <w:i w:val="false"/>
          <w:strike w:val="false"/>
          <w:color w:val=""/>
          <w:sz w:val="22"/>
        </w:rPr>
        <w:t xml:space="preserve"> is located within the </w:t>
      </w:r>
      <w:r>
        <w:rPr>
          <w:rFonts w:ascii="" w:hAnsi="" w:cs="" w:eastAsia=""/>
          <w:b w:val="false"/>
          <w:i w:val="false"/>
          <w:strike w:val="false"/>
          <w:color w:val=""/>
          <w:sz w:val="22"/>
        </w:rPr>
        <w:t>Los Angeles</w:t>
      </w:r>
      <w:r>
        <w:rPr>
          <w:rFonts w:ascii="" w:hAnsi="" w:cs="" w:eastAsia=""/>
          <w:b w:val="false"/>
          <w:i w:val="false"/>
          <w:strike w:val="false"/>
          <w:color w:val=""/>
          <w:sz w:val="22"/>
        </w:rPr>
        <w:t xml:space="preserve"> metropolitan area, local residents could readily obtain the goods and services they needed from undamaged businesses in adjacent communities. Thus, by the time the space is available for reoccupancy, it must be leased to new tenants because the old ones did not have the resources to wait that long.</w:t>
      </w:r>
    </w:p>
    <w:p>
      <w:pPr>
        <w:pStyle w:val=""/>
        <w:jc w:val="both"/>
      </w:pPr>
      <w:r>
        <w:rPr>
          <w:rFonts w:ascii="Times New Roman" w:hAnsi="Times New Roman" w:cs="Times New Roman" w:eastAsia="Times New Roman"/>
          <w:b w:val="false"/>
          <w:i w:val="false"/>
          <w:strike w:val="false"/>
          <w:color w:val=""/>
          <w:sz w:val="22"/>
        </w:rPr>
        <w:t xml:space="preserve">Perhaps the least obvious effects of disaster impact are population dislocation, losses in discretionary income among those victims who remain in the impact area—which can weaken market demand for many products and services—and competitive pressure from large outside businesses. All of these indirect effects cause small local businesses to experience a high rate of failure in the aftermath of a disaster (Alesch &amp; Holly, 1996; Alesch, Holly, Mittler &amp; Nagy, 2001). Indeed, these factors can produce business failures long after the precipitating event, especially if the community was already in economic decline before the event (Bates &amp; Peacock, 1993; Durkin, 1984; Webb, et al., 2002). Thus, businesses that were marginally profitable before a disaster strikes are more likely to close immediately after the event. </w:t>
      </w:r>
    </w:p>
    <w:p>
      <w:pPr>
        <w:pStyle w:val=""/>
        <w:jc w:val="both"/>
      </w:pPr>
      <w:r>
        <w:rPr>
          <w:rFonts w:ascii="Times New Roman" w:hAnsi="Times New Roman" w:cs="Times New Roman" w:eastAsia="Times New Roman"/>
          <w:b w:val="false"/>
          <w:i w:val="false"/>
          <w:strike w:val="false"/>
          <w:color w:val=""/>
          <w:sz w:val="22"/>
        </w:rPr>
        <w:t xml:space="preserve">There also is variation among business sectors in their patterns of recovery. Whereas wholesale and retail businesses generally report experiencing significant sales losses, manufacturing and construction companies often show gains following a disaster (Durkin, 1984; Kroll, et al., 1990; Webb, et al., 2000). </w:t>
      </w:r>
      <w:r>
        <w:rPr>
          <w:rFonts w:ascii="Times New Roman" w:hAnsi="Times New Roman" w:cs="Times New Roman" w:eastAsia="Times New Roman"/>
          <w:b w:val="false"/>
          <w:i w:val="false"/>
          <w:strike w:val="false"/>
          <w:color w:val=""/>
          <w:sz w:val="22"/>
        </w:rPr>
        <w:t>Moreover, businesses that serve a large (e.g. regional or international) market tend to recover more rapidly than those that only serve local markets (Webb, et al., 2002). Small businesses, in particular, have been found to experience more obstacles than large firms and chains in their attempts to regain their predisaster levels of operations. Compared to their large counterparts, small firms are more likely to depend primarily on neighborhood customers, lack the financial resources needed for recovery, and lack access to governmental recovery programs (Alesch &amp; Holly, 1996; Alesch, et al., 2001; Dahlhamer &amp; Tierney, 1998; Durkin, 1984; Kroll, et al., 1990). Thus, business sector and business size can be seen as indicators of operational vulnerability that are equivalent to the demographic indicators of social vulnerability in households.</w:t>
      </w:r>
    </w:p>
    <w:p>
      <w:pPr>
        <w:pStyle w:val="BodyTextIndent2"/>
        <w:jc w:val="both"/>
      </w:pPr>
      <w:r>
        <w:rPr>
          <w:rFonts w:ascii="" w:hAnsi="" w:cs="" w:eastAsia=""/>
          <w:b w:val="false"/>
          <w:i w:val="false"/>
          <w:strike w:val="false"/>
          <w:color w:val=""/>
          <w:sz w:val="22"/>
        </w:rPr>
        <w:t xml:space="preserve">Businesses’ hazard vulnerability explains the changes a disaster causes in businesses’ production, sales, and profits and, thus, the dynamics of business recovery. In particular, four cases can be used to illustrate firms’ variation in their postdisaster sales levels (Zhang, Lindell &amp; Prater, 2004). According to Figure 11-7, gains and losses in sales (the vertical axis) over time (the horizontal axis) are defined by the area enclosed within the (vertical) disaster line, the (horizontal) predisaster sales level, and the (diagonal) recovery curve. Gains are represented by the size of the area above the predisaster sales level and losses are represented by the size of the area below the predisaster sales level (the shaded area in each panel). </w:t>
      </w:r>
    </w:p>
    <w:p>
      <w:pPr>
        <w:pStyle w:val=""/>
        <w:jc w:val="both"/>
      </w:pPr>
      <w:r>
        <w:rPr>
          <w:rFonts w:ascii="Times New Roman" w:hAnsi="Times New Roman" w:cs="Times New Roman" w:eastAsia="Times New Roman"/>
          <w:b w:val="true"/>
          <w:i w:val="false"/>
          <w:strike w:val="false"/>
          <w:color w:val=""/>
          <w:sz w:val="22"/>
        </w:rPr>
        <w:t>Figure 11-7</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Patterns of Business Sales Changes after Environmental Disasters.</w:t>
      </w:r>
    </w:p>
    <w:p>
      <w:pPr>
        <w:pStyle w:val="BodyTextIndent2"/>
        <w:jc w:val="both"/>
      </w:pPr>
      <w:r>
        <w:rPr>
          <w:rFonts w:ascii="" w:hAnsi="" w:cs="" w:eastAsia=""/>
          <w:b w:val="false"/>
          <w:i w:val="false"/>
          <w:strike w:val="false"/>
          <w:color w:val=""/>
        </w:rPr>
        <w:t xml:space="preserve"> </w:t>
      </w:r>
    </w:p>
    <w:p>
      <w:pPr>
        <w:pStyle w:val=""/>
        <w:jc w:val="both"/>
      </w:pPr>
      <w:r>
        <w:rPr>
          <w:rFonts w:ascii="Arial" w:hAnsi="Arial" w:cs="Arial" w:eastAsia="Arial"/>
          <w:b w:val="false"/>
          <w:i w:val="false"/>
          <w:strike w:val="false"/>
          <w:color w:val=""/>
          <w:sz w:val="18"/>
        </w:rPr>
        <w:t>Source: Zhang, et al. (2004)</w:t>
      </w:r>
    </w:p>
    <w:p>
      <w:pPr>
        <w:pStyle w:val="BodyTextIndent2"/>
        <w:jc w:val="both"/>
      </w:pPr>
      <w:r>
        <w:rPr>
          <w:rFonts w:ascii="" w:hAnsi="" w:cs="" w:eastAsia=""/>
          <w:b w:val="false"/>
          <w:i w:val="false"/>
          <w:strike w:val="false"/>
          <w:color w:val=""/>
          <w:sz w:val="22"/>
        </w:rPr>
        <w:t>The first case is defined by businesses in the impact area that have minimal hazard vulnerability. Such businesses—professional services are an example—experience only small decreases in sales after disaster impact and return quickly to their predisaster levels (Figure 11-7a). The second case consists of businesses that also are in the impact area, but have moderate vulnerability. Such businesses—large manufacturers, for example—experience a larger initial drop in their sales levels and their recovery takes a longer time (Figure 11-7b). Tourism oriented businesses may also suffer initial losses and take some time to recover to their prior level of profitability because they may be stigmatized in the aftermath of a disaster and can take several seasons to shed the image of danger</w:t>
      </w:r>
      <w:r>
        <w:rPr>
          <w:rFonts w:ascii="" w:hAnsi="" w:cs="" w:eastAsia=""/>
          <w:b w:val="false"/>
          <w:i w:val="false"/>
          <w:strike w:val="false"/>
          <w:color w:val=""/>
          <w:sz w:val="22"/>
        </w:rPr>
        <w:t xml:space="preserve"> and destruction</w:t>
      </w:r>
      <w:r>
        <w:rPr>
          <w:rFonts w:ascii="" w:hAnsi="" w:cs="" w:eastAsia=""/>
          <w:b w:val="false"/>
          <w:i w:val="false"/>
          <w:strike w:val="false"/>
          <w:color w:val=""/>
          <w:sz w:val="22"/>
        </w:rPr>
        <w:t xml:space="preserve">. </w:t>
      </w:r>
    </w:p>
    <w:p>
      <w:pPr>
        <w:pStyle w:val="BodyTextIndent2"/>
        <w:jc w:val="both"/>
      </w:pPr>
      <w:r>
        <w:rPr>
          <w:rFonts w:ascii="" w:hAnsi="" w:cs="" w:eastAsia=""/>
          <w:b w:val="false"/>
          <w:i w:val="false"/>
          <w:strike w:val="false"/>
          <w:color w:val=""/>
          <w:sz w:val="22"/>
        </w:rPr>
        <w:t>By contrast, the third case consists of businesses that experience initial sales losses because they are inside (thus experiencing direct losses) or near (thus experiencing indirect losses) the impact area. However, they later experience an increase in demand for their products/services during disaster aftermath (Figure 11-7c). Recovery–related businesses in the building construction, construction materials, and hospitality (e.g., hotels and restaurants) industries exemplify a pattern in which an initial loss (e.g., due to minor damage or infrastructure disruption) is rapidly restored and followed by increased sales. The final case describes recovery related businesses that are just outside the impact area. Not only do they avoid any initial losses, but they also can take advantage of expanded demand in the disaster stricken community and reap gains in the aftermath of the disaster (Figure 11-7d).</w:t>
      </w:r>
    </w:p>
    <w:p>
      <w:pPr>
        <w:pStyle w:val=""/>
        <w:jc w:val="both"/>
      </w:pPr>
      <w:r>
        <w:rPr>
          <w:rFonts w:ascii="Times New Roman" w:hAnsi="Times New Roman" w:cs="Times New Roman" w:eastAsia="Times New Roman"/>
          <w:b w:val="false"/>
          <w:i w:val="false"/>
          <w:strike w:val="false"/>
          <w:color w:val=""/>
          <w:sz w:val="22"/>
        </w:rPr>
        <w:t xml:space="preserve">Although the available data are limited, some of these principles are revealed in data from business recovery in two communities affected by Hurricane Andrew (Dash, et al., 1997).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had a larger population, a higher per capita income, and a higher average home value than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was 42% Angl</w:t>
      </w:r>
      <w:r>
        <w:rPr>
          <w:rFonts w:ascii="Times New Roman" w:hAnsi="Times New Roman" w:cs="Times New Roman" w:eastAsia="Times New Roman"/>
          <w:b w:val="false"/>
          <w:i w:val="false"/>
          <w:strike w:val="false"/>
          <w:color w:val=""/>
          <w:sz w:val="22"/>
        </w:rPr>
        <w:t>o and 35</w:t>
      </w:r>
      <w:r>
        <w:rPr>
          <w:rFonts w:ascii="Times New Roman" w:hAnsi="Times New Roman" w:cs="Times New Roman" w:eastAsia="Times New Roman"/>
          <w:b w:val="false"/>
          <w:i w:val="false"/>
          <w:strike w:val="false"/>
          <w:color w:val=""/>
          <w:sz w:val="22"/>
        </w:rPr>
        <w:t xml:space="preserve">% Hispanic, whereas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was 61% Black and 37% Hispanic. Even though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is slightly farther from the point at which the hurricane eye made landfall, there was essentially no initial difference in the hurricane’s impact on the two city’s businesses. The overall commercial property loss after the hurricane was 29%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and 32%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However, Table 11-5 describes the business impacts of the hurricane in terms of the changes in the number of businesses, number of employees, and sales volume in each of the industries operating in these cities.</w:t>
      </w:r>
    </w:p>
    <w:p>
      <w:pPr>
        <w:pStyle w:val=""/>
        <w:jc w:val="both"/>
      </w:pPr>
      <w:r>
        <w:rPr>
          <w:rFonts w:ascii="Times New Roman" w:hAnsi="Times New Roman" w:cs="Times New Roman" w:eastAsia="Times New Roman"/>
          <w:b w:val="false"/>
          <w:i w:val="false"/>
          <w:strike w:val="false"/>
          <w:color w:val=""/>
          <w:sz w:val="22"/>
        </w:rPr>
        <w:t xml:space="preserve">Overall, there were significant differences in the two communities over the next year. For example, total sales volume declined 83%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but only 1.1%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However, inspection of Table 11-5 reveals that there are distinct differences from one industry to another and the magnitude of the impact depends on whether one examines the change in the number of businesses, the number of employees, or sales volume. For example,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shows dramatic declines for agriculture on all three indicators but no change or even modest increases in construction. By contrast,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showed a slight increase in the number of agricultural businesses, but significant increases in the number of agricultural jobs and sales volume. Moreover, it experienced significant declines for all three indicators in construction—almost the opposite pattern of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These differences in business impacts indicate local authorities should carefully assess the businesses in their communities before a disaster strikes and monitor their economic viability in the disaster’s aftermath to determine if government intervention is needed. </w:t>
      </w:r>
    </w:p>
    <w:p>
      <w:pPr>
        <w:pStyle w:val="Heading1"/>
        <w:jc w:val="both"/>
      </w:pPr>
      <w:r>
        <w:rPr>
          <w:rFonts w:ascii="Times New Roman" w:hAnsi="Times New Roman" w:cs="Times New Roman" w:eastAsia="Times New Roman"/>
          <w:b w:val="false"/>
          <w:i w:val="false"/>
          <w:strike w:val="false"/>
          <w:color w:val=""/>
          <w:sz w:val="22"/>
        </w:rPr>
        <w:t>The Role of State and Federal Governments</w:t>
      </w:r>
    </w:p>
    <w:p>
      <w:pPr>
        <w:pStyle w:val="BodyTextIndent2"/>
        <w:jc w:val="both"/>
      </w:pPr>
      <w:r>
        <w:rPr>
          <w:rFonts w:ascii="" w:hAnsi="" w:cs="" w:eastAsia=""/>
          <w:b w:val="false"/>
          <w:i w:val="false"/>
          <w:strike w:val="false"/>
          <w:color w:val=""/>
          <w:sz w:val="22"/>
        </w:rPr>
        <w:t xml:space="preserve">State and federal agencies can play significant roles in disaster recovery, but the burden most frequently falls on local governments because only about 19% of all disasters receive state disaster declarations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1% qualify for </w:t>
      </w:r>
      <w:r>
        <w:rPr>
          <w:rFonts w:ascii="" w:hAnsi="" w:cs="" w:eastAsia=""/>
          <w:b w:val="false"/>
          <w:i w:val="false"/>
          <w:strike w:val="false"/>
          <w:color w:val=""/>
          <w:sz w:val="22"/>
        </w:rPr>
        <w:t>Presidential Disaster Declarations (</w:t>
      </w:r>
      <w:r>
        <w:rPr>
          <w:rFonts w:ascii="" w:hAnsi="" w:cs="" w:eastAsia=""/>
          <w:b w:val="false"/>
          <w:i w:val="false"/>
          <w:strike w:val="false"/>
          <w:color w:val=""/>
          <w:sz w:val="22"/>
        </w:rPr>
        <w:t>PDDs</w:t>
      </w:r>
      <w:r>
        <w:rPr>
          <w:rFonts w:ascii="" w:hAnsi="" w:cs="" w:eastAsia=""/>
          <w:b w:val="false"/>
          <w:i w:val="false"/>
          <w:strike w:val="false"/>
          <w:color w:val=""/>
          <w:sz w:val="22"/>
        </w:rPr>
        <w:t>)</w:t>
      </w:r>
      <w:r>
        <w:rPr>
          <w:rFonts w:ascii="" w:hAnsi="" w:cs="" w:eastAsia=""/>
          <w:b w:val="false"/>
          <w:i w:val="false"/>
          <w:strike w:val="false"/>
          <w:color w:val=""/>
          <w:sz w:val="22"/>
        </w:rPr>
        <w:t xml:space="preserve">. Thus, local governments should prepare to undertake a variety of functions during a disaster recovery process, understanding that they might </w:t>
      </w:r>
      <w:r>
        <w:rPr>
          <w:rFonts w:ascii="" w:hAnsi="" w:cs="" w:eastAsia=""/>
          <w:b w:val="false"/>
          <w:i w:val="false"/>
          <w:strike w:val="false"/>
          <w:color w:val=""/>
          <w:sz w:val="22"/>
        </w:rPr>
        <w:t xml:space="preserve">not receive any aid from higher levels of government for minor disasters. The main factor affecting the level of involvement of state and federal government is the scope of the event. </w:t>
      </w:r>
      <w:r>
        <w:rPr>
          <w:rFonts w:ascii="" w:hAnsi="" w:cs="" w:eastAsia=""/>
          <w:b w:val="false"/>
          <w:i w:val="false"/>
          <w:strike w:val="false"/>
          <w:color w:val=""/>
          <w:sz w:val="22"/>
        </w:rPr>
        <w:t>After a major disaster</w:t>
      </w:r>
      <w:r>
        <w:rPr>
          <w:rFonts w:ascii="" w:hAnsi="" w:cs="" w:eastAsia=""/>
          <w:b w:val="false"/>
          <w:i w:val="false"/>
          <w:strike w:val="false"/>
          <w:color w:val=""/>
          <w:sz w:val="22"/>
        </w:rPr>
        <w:t xml:space="preserve">, a PDD </w:t>
      </w:r>
      <w:r>
        <w:rPr>
          <w:rFonts w:ascii="" w:hAnsi="" w:cs="" w:eastAsia=""/>
          <w:b w:val="false"/>
          <w:i w:val="false"/>
          <w:strike w:val="false"/>
          <w:color w:val=""/>
          <w:sz w:val="22"/>
        </w:rPr>
        <w:t>opens</w:t>
      </w:r>
      <w:r>
        <w:rPr>
          <w:rFonts w:ascii="" w:hAnsi="" w:cs="" w:eastAsia=""/>
          <w:b w:val="false"/>
          <w:i w:val="false"/>
          <w:strike w:val="false"/>
          <w:color w:val=""/>
          <w:sz w:val="22"/>
        </w:rPr>
        <w:t xml:space="preserve"> a broad range of programs </w:t>
      </w:r>
      <w:r>
        <w:rPr>
          <w:rFonts w:ascii="" w:hAnsi="" w:cs="" w:eastAsia=""/>
          <w:b w:val="false"/>
          <w:i w:val="false"/>
          <w:strike w:val="false"/>
          <w:color w:val=""/>
          <w:sz w:val="22"/>
        </w:rPr>
        <w:t>for relief and reconstruction. In such cases</w:t>
      </w:r>
      <w:r>
        <w:rPr>
          <w:rFonts w:ascii="" w:hAnsi="" w:cs="" w:eastAsia=""/>
          <w:b w:val="false"/>
          <w:i w:val="false"/>
          <w:strike w:val="false"/>
          <w:color w:val=""/>
          <w:sz w:val="22"/>
        </w:rPr>
        <w:t xml:space="preserve">, the state plays a coordinating role, working with both federal and local governments. </w:t>
      </w:r>
      <w:r>
        <w:rPr>
          <w:rFonts w:ascii="" w:hAnsi="" w:cs="" w:eastAsia=""/>
          <w:b w:val="false"/>
          <w:i w:val="false"/>
          <w:strike w:val="false"/>
          <w:color w:val=""/>
          <w:sz w:val="22"/>
        </w:rPr>
        <w:t>Moreover, d</w:t>
      </w:r>
      <w:r>
        <w:rPr>
          <w:rFonts w:ascii="" w:hAnsi="" w:cs="" w:eastAsia=""/>
          <w:b w:val="false"/>
          <w:i w:val="false"/>
          <w:strike w:val="false"/>
          <w:color w:val=""/>
          <w:sz w:val="22"/>
        </w:rPr>
        <w:t xml:space="preserve">isaster response </w:t>
      </w:r>
      <w:r>
        <w:rPr>
          <w:rFonts w:ascii="" w:hAnsi="" w:cs="" w:eastAsia=""/>
          <w:b w:val="false"/>
          <w:i w:val="false"/>
          <w:strike w:val="false"/>
          <w:color w:val=""/>
          <w:sz w:val="22"/>
        </w:rPr>
        <w:t>might</w:t>
      </w:r>
      <w:r>
        <w:rPr>
          <w:rFonts w:ascii="" w:hAnsi="" w:cs="" w:eastAsia=""/>
          <w:b w:val="false"/>
          <w:i w:val="false"/>
          <w:strike w:val="false"/>
          <w:color w:val=""/>
          <w:sz w:val="22"/>
        </w:rPr>
        <w:t xml:space="preserve"> be mostly over before the PDD is granted, but federal assistance is certainly welcome when it finally arrives. The Recovery Function Annex of the </w:t>
      </w:r>
      <w:r>
        <w:rPr>
          <w:rFonts w:ascii="" w:hAnsi="" w:cs="" w:eastAsia=""/>
          <w:b w:val="false"/>
          <w:i w:val="false"/>
          <w:strike w:val="false"/>
          <w:color w:val=""/>
          <w:sz w:val="22"/>
        </w:rPr>
        <w:t>National</w:t>
      </w:r>
      <w:r>
        <w:rPr>
          <w:rFonts w:ascii="" w:hAnsi="" w:cs="" w:eastAsia=""/>
          <w:b w:val="false"/>
          <w:i w:val="false"/>
          <w:strike w:val="false"/>
          <w:color w:val=""/>
          <w:sz w:val="22"/>
        </w:rPr>
        <w:t xml:space="preserve"> Response Plan of January 2003, available on the DHS Web site (www.dhs.gov/dhspublic/), lists 71 federal disaster recovery programs that are administered directly by the DHS or by dozens of other federal and volunteer organizations. The following discussion is not exhaustive, but gives an overview of some of the key programs.</w:t>
      </w:r>
    </w:p>
    <w:p>
      <w:pPr>
        <w:pStyle w:val=""/>
        <w:jc w:val="both"/>
      </w:pPr>
      <w:r>
        <w:rPr>
          <w:rFonts w:ascii="Times New Roman" w:hAnsi="Times New Roman" w:cs="Times New Roman" w:eastAsia="Times New Roman"/>
          <w:b w:val="true"/>
          <w:i w:val="false"/>
          <w:strike w:val="false"/>
          <w:color w:val=""/>
          <w:sz w:val="22"/>
        </w:rPr>
        <w:t>Table 11-5.</w:t>
      </w:r>
      <w:r>
        <w:rPr>
          <w:rFonts w:ascii="Times New Roman" w:hAnsi="Times New Roman" w:cs="Times New Roman" w:eastAsia="Times New Roman"/>
          <w:b w:val="false"/>
          <w:i w:val="false"/>
          <w:strike w:val="false"/>
          <w:color w:val=""/>
          <w:sz w:val="22"/>
        </w:rPr>
        <w:t>Changes in the Number of Businesses, Employees, and Sales Volume after Hurricane Andrew.</w:t>
      </w: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r>
        <w:rPr>
          <w:rFonts w:ascii="Arial" w:hAnsi="Arial" w:cs="Arial" w:eastAsia="Arial"/>
          <w:b w:val="false"/>
          <w:i w:val="false"/>
          <w:strike w:val="false"/>
          <w:color w:val=""/>
          <w:sz w:val="18"/>
        </w:rPr>
        <w:t>Source: Dash, et al. (1997), Sales volume is not applicable to public sector organizations.</w:t>
      </w:r>
    </w:p>
    <w:p>
      <w:pPr>
        <w:pStyle w:val="BodyTextIndent2"/>
        <w:jc w:val="both"/>
      </w:pPr>
      <w:r>
        <w:rPr>
          <w:rFonts w:ascii="" w:hAnsi="" w:cs="" w:eastAsia=""/>
          <w:b w:val="false"/>
          <w:i w:val="false"/>
          <w:strike w:val="false"/>
          <w:color w:val=""/>
          <w:sz w:val="22"/>
        </w:rPr>
        <w:t xml:space="preserve">The lead agency at the federal level is FEMA, renamed the Emergency Preparedness and Response Directorate when it was placed in the new Department of Homeland Security in 2002. Other federal agencies might be called upon when a PDD is granted, including the Small Business Administration, the </w:t>
      </w:r>
      <w:r>
        <w:rPr>
          <w:rFonts w:ascii="" w:hAnsi="" w:cs="" w:eastAsia=""/>
          <w:b w:val="false"/>
          <w:i w:val="false"/>
          <w:strike w:val="false"/>
          <w:color w:val=""/>
          <w:sz w:val="22"/>
        </w:rPr>
        <w:t>US</w:t>
      </w:r>
      <w:r>
        <w:rPr>
          <w:rFonts w:ascii="" w:hAnsi="" w:cs="" w:eastAsia=""/>
          <w:b w:val="false"/>
          <w:i w:val="false"/>
          <w:strike w:val="false"/>
          <w:color w:val=""/>
          <w:sz w:val="22"/>
        </w:rPr>
        <w:t xml:space="preserve"> Army Corps of Engineers, the Department of Housing and Urban Development, the National Oceanographic and Atmospheric Administration, and the Economic Development Administration, among others. Each of these agencies </w:t>
      </w:r>
      <w:r>
        <w:rPr>
          <w:rFonts w:ascii="" w:hAnsi="" w:cs="" w:eastAsia=""/>
          <w:b w:val="false"/>
          <w:i w:val="false"/>
          <w:strike w:val="false"/>
          <w:color w:val=""/>
          <w:sz w:val="22"/>
        </w:rPr>
        <w:t>funds</w:t>
      </w:r>
      <w:r>
        <w:rPr>
          <w:rFonts w:ascii="" w:hAnsi="" w:cs="" w:eastAsia=""/>
          <w:b w:val="false"/>
          <w:i w:val="false"/>
          <w:strike w:val="false"/>
          <w:color w:val=""/>
          <w:sz w:val="22"/>
        </w:rPr>
        <w:t xml:space="preserve"> specific disaster recovery programs.</w:t>
      </w:r>
    </w:p>
    <w:p>
      <w:pPr>
        <w:pStyle w:val="BodyTextIndent2"/>
        <w:jc w:val="both"/>
      </w:pPr>
      <w:r>
        <w:rPr>
          <w:rFonts w:ascii="" w:hAnsi="" w:cs="" w:eastAsia=""/>
          <w:b w:val="false"/>
          <w:i w:val="false"/>
          <w:strike w:val="false"/>
          <w:color w:val=""/>
          <w:sz w:val="22"/>
        </w:rPr>
        <w:t>The National Response Plan provides for the establishment of Disaster Field Offices (DFOs) in the vicinity of the disaster. Emergency Response Teams (ERTs) are located in the DFOs. These include an Operations Section that coordinates federal, state, and voluntary efforts. The ERT Operations Section has a Human Services Branch that is responsible for many tasks including needs assessment; establishment of Disaster Recovery Centers; initiation, coordination, and delivery of recovery programs authorized by the Stafford Act; and managing DHS and state grant programs. Finally, there is an Infrastructure Support Branch t</w:t>
      </w:r>
      <w:r>
        <w:rPr>
          <w:rFonts w:ascii="" w:hAnsi="" w:cs="" w:eastAsia=""/>
          <w:b w:val="false"/>
          <w:i w:val="false"/>
          <w:strike w:val="false"/>
          <w:color w:val=""/>
          <w:sz w:val="22"/>
        </w:rPr>
        <w:t>o</w:t>
      </w:r>
      <w:r>
        <w:rPr>
          <w:rFonts w:ascii="" w:hAnsi="" w:cs="" w:eastAsia=""/>
          <w:b w:val="false"/>
          <w:i w:val="false"/>
          <w:strike w:val="false"/>
          <w:color w:val=""/>
          <w:sz w:val="22"/>
        </w:rPr>
        <w:t xml:space="preserve"> </w:t>
      </w:r>
      <w:r>
        <w:rPr>
          <w:rFonts w:ascii="" w:hAnsi="" w:cs="" w:eastAsia=""/>
          <w:b w:val="false"/>
          <w:i w:val="false"/>
          <w:strike w:val="false"/>
          <w:color w:val=""/>
          <w:sz w:val="22"/>
        </w:rPr>
        <w:t xml:space="preserve">facilitate </w:t>
      </w:r>
      <w:r>
        <w:rPr>
          <w:rFonts w:ascii="" w:hAnsi="" w:cs="" w:eastAsia=""/>
          <w:b w:val="false"/>
          <w:i w:val="false"/>
          <w:strike w:val="false"/>
          <w:color w:val=""/>
          <w:sz w:val="22"/>
        </w:rPr>
        <w:t>restoration of public utilities and other infrastructure services. There is also a Deputy Field Coordinating Officer for Mitigation who coordinates with the Infrastructure Support Branch and otherwise promotes mitigation and preparedness activities.</w:t>
      </w:r>
    </w:p>
    <w:p>
      <w:pPr>
        <w:pStyle w:val="BodyTextIndent2"/>
        <w:jc w:val="both"/>
      </w:pPr>
      <w:r>
        <w:rPr>
          <w:rFonts w:ascii="" w:hAnsi="" w:cs="" w:eastAsia=""/>
          <w:b w:val="false"/>
          <w:i w:val="false"/>
          <w:strike w:val="false"/>
          <w:color w:val=""/>
          <w:sz w:val="22"/>
        </w:rPr>
        <w:t xml:space="preserve">The main types of programs providing recovery assistance are Individual Assistance, Infrastructure Support (formerly Public Assistance), and Hazard Mitigation Grant Program. Individual Assistance is </w:t>
      </w:r>
      <w:r>
        <w:rPr>
          <w:rFonts w:ascii="" w:hAnsi="" w:cs="" w:eastAsia=""/>
          <w:b w:val="false"/>
          <w:i w:val="false"/>
          <w:strike w:val="false"/>
          <w:color w:val=""/>
          <w:sz w:val="22"/>
        </w:rPr>
        <w:t xml:space="preserve">available to households through the Temporary Housing Assistance program, Individual and Family Grants, Disaster Unemployment assistance, legal services, special tax considerations, and crisis counseling programs. Individuals and businesses can receive aid through the Small Business Administration Disaster Loans program, which can provide </w:t>
      </w:r>
      <w:r>
        <w:rPr>
          <w:rFonts w:ascii="" w:hAnsi="" w:cs="" w:eastAsia=""/>
          <w:b w:val="false"/>
          <w:i w:val="false"/>
          <w:strike w:val="false"/>
          <w:color w:val=""/>
          <w:sz w:val="22"/>
        </w:rPr>
        <w:t>loans for</w:t>
      </w:r>
      <w:r>
        <w:rPr>
          <w:rFonts w:ascii="" w:hAnsi="" w:cs="" w:eastAsia=""/>
          <w:b w:val="false"/>
          <w:i w:val="false"/>
          <w:strike w:val="false"/>
          <w:color w:val=""/>
          <w:sz w:val="22"/>
        </w:rPr>
        <w:t xml:space="preserve"> repairs to housing</w:t>
      </w:r>
      <w:r>
        <w:rPr>
          <w:rFonts w:ascii="" w:hAnsi="" w:cs="" w:eastAsia=""/>
          <w:b w:val="false"/>
          <w:i w:val="false"/>
          <w:strike w:val="false"/>
          <w:color w:val=""/>
          <w:sz w:val="22"/>
        </w:rPr>
        <w:t xml:space="preserve"> and</w:t>
      </w:r>
      <w:r>
        <w:rPr>
          <w:rFonts w:ascii="" w:hAnsi="" w:cs="" w:eastAsia=""/>
          <w:b w:val="false"/>
          <w:i w:val="false"/>
          <w:strike w:val="false"/>
          <w:color w:val=""/>
          <w:sz w:val="22"/>
        </w:rPr>
        <w:t xml:space="preserve"> businesses, and </w:t>
      </w:r>
      <w:r>
        <w:rPr>
          <w:rFonts w:ascii="" w:hAnsi="" w:cs="" w:eastAsia=""/>
          <w:b w:val="false"/>
          <w:i w:val="false"/>
          <w:strike w:val="false"/>
          <w:color w:val=""/>
          <w:sz w:val="22"/>
        </w:rPr>
        <w:t>also for operating expenses</w:t>
      </w:r>
      <w:r>
        <w:rPr>
          <w:rFonts w:ascii="" w:hAnsi="" w:cs="" w:eastAsia=""/>
          <w:b w:val="false"/>
          <w:i w:val="false"/>
          <w:strike w:val="false"/>
          <w:color w:val=""/>
          <w:sz w:val="22"/>
        </w:rPr>
        <w:t>. In the past, many loan programs have been inaccessible to low income households, which tend to rent rather than own their housing</w:t>
      </w:r>
      <w:r>
        <w:rPr>
          <w:rFonts w:ascii="" w:hAnsi="" w:cs="" w:eastAsia=""/>
          <w:b w:val="false"/>
          <w:i w:val="false"/>
          <w:strike w:val="false"/>
          <w:color w:val=""/>
          <w:sz w:val="22"/>
        </w:rPr>
        <w:t>. Thus,</w:t>
      </w:r>
      <w:r>
        <w:rPr>
          <w:rFonts w:ascii="" w:hAnsi="" w:cs="" w:eastAsia=""/>
          <w:b w:val="false"/>
          <w:i w:val="false"/>
          <w:strike w:val="false"/>
          <w:color w:val=""/>
          <w:sz w:val="22"/>
        </w:rPr>
        <w:t xml:space="preserve"> </w:t>
      </w:r>
      <w:r>
        <w:rPr>
          <w:rFonts w:ascii="" w:hAnsi="" w:cs="" w:eastAsia=""/>
          <w:b w:val="false"/>
          <w:i w:val="false"/>
          <w:strike w:val="false"/>
          <w:color w:val=""/>
          <w:sz w:val="22"/>
        </w:rPr>
        <w:t>they</w:t>
      </w:r>
      <w:r>
        <w:rPr>
          <w:rFonts w:ascii="" w:hAnsi="" w:cs="" w:eastAsia=""/>
          <w:b w:val="false"/>
          <w:i w:val="false"/>
          <w:strike w:val="false"/>
          <w:color w:val=""/>
          <w:sz w:val="22"/>
        </w:rPr>
        <w:t xml:space="preserve"> failed to qualify for loans because of their low incomes and lack of collateral. The Individual and Family Grant Program was intended to fill the need for a program targeting those whose needs were not being met by the SBA loan program, private insurance, or NGO assistance. However, the amounts awarded tend to be small.</w:t>
      </w:r>
    </w:p>
    <w:p>
      <w:pPr>
        <w:pStyle w:val="BodyTextIndent2"/>
        <w:jc w:val="both"/>
      </w:pPr>
      <w:r>
        <w:rPr>
          <w:rFonts w:ascii="" w:hAnsi="" w:cs="" w:eastAsia=""/>
          <w:b w:val="false"/>
          <w:i w:val="false"/>
          <w:strike w:val="false"/>
          <w:color w:val=""/>
          <w:sz w:val="22"/>
        </w:rPr>
        <w:t xml:space="preserve">Public Assistance programs offered through the Infrastructure Support Branch are targeted at state and local governments, certain nonprofit organizations that provide emergency services, and Indian tribes. These programs </w:t>
      </w:r>
      <w:r>
        <w:rPr>
          <w:rFonts w:ascii="" w:hAnsi="" w:cs="" w:eastAsia=""/>
          <w:b w:val="false"/>
          <w:i w:val="false"/>
          <w:strike w:val="false"/>
          <w:color w:val=""/>
          <w:sz w:val="22"/>
        </w:rPr>
        <w:t xml:space="preserve">provide funds for the </w:t>
      </w:r>
      <w:r>
        <w:rPr>
          <w:rFonts w:ascii="" w:hAnsi="" w:cs="" w:eastAsia=""/>
          <w:b w:val="false"/>
          <w:i w:val="false"/>
          <w:strike w:val="false"/>
          <w:color w:val=""/>
          <w:sz w:val="22"/>
        </w:rPr>
        <w:t>repair or replacement of public facilities damaged by disaster. They may be classified as Emergency Work under Category A (Debris Removal) or Category B (Emergency Protective Measures) or Permanent Work, under Category C (Roads and Bridges), Category D (Water Control Facilities), Category E (Buildings and Equipment), Category F (Utilities), or Category G (Parks, Recreational Facilities, and Other Items).</w:t>
      </w:r>
    </w:p>
    <w:p>
      <w:pPr>
        <w:pStyle w:val="BodyTextIndent2"/>
        <w:jc w:val="both"/>
      </w:pPr>
      <w:r>
        <w:rPr>
          <w:rFonts w:ascii="" w:hAnsi="" w:cs="" w:eastAsia=""/>
          <w:b w:val="false"/>
          <w:i w:val="false"/>
          <w:strike w:val="false"/>
          <w:color w:val=""/>
          <w:sz w:val="22"/>
        </w:rPr>
        <w:t xml:space="preserve">Assistance provided under the Hazard Mitigation Grant Program has increased in importance since the passage of the Disaster Mitigation Act of 2000. This legislation requires local governments to identify potential mitigation measures that could be incorporated into the repair of damaged facilities in order to be eligible for pre- and postdisaster funding. This policy represents a significant shift from previous FEMA policies that inhibited the implementation of mitigation measures because repairs were only funded to the level of predisaster conditions. The recent shift is putting more emphasis on activities eligible under Section 406 of the Stafford Act, known as </w:t>
      </w:r>
      <w:r>
        <w:rPr>
          <w:rFonts w:ascii="" w:hAnsi="" w:cs="" w:eastAsia=""/>
          <w:b w:val="false"/>
          <w:i w:val="true"/>
          <w:strike w:val="false"/>
          <w:color w:val=""/>
          <w:sz w:val="22"/>
        </w:rPr>
        <w:t xml:space="preserve">406 mitigation. </w:t>
      </w:r>
      <w:r>
        <w:rPr>
          <w:rFonts w:ascii="" w:hAnsi="" w:cs="" w:eastAsia=""/>
          <w:b w:val="false"/>
          <w:i w:val="false"/>
          <w:strike w:val="false"/>
          <w:color w:val=""/>
          <w:sz w:val="22"/>
        </w:rPr>
        <w:t>These activities include hazard mapping, mitigation planning, development of building codes, development of training and public education programs, establishing Reconstruction Information Centers, and assisting communities to promote sustainable development.</w:t>
      </w:r>
    </w:p>
    <w:p>
      <w:pPr>
        <w:pStyle w:val="BodyTextIndent2"/>
        <w:jc w:val="both"/>
      </w:pPr>
      <w:r>
        <w:rPr>
          <w:rFonts w:ascii="" w:hAnsi="" w:cs="" w:eastAsia=""/>
          <w:b w:val="false"/>
          <w:i w:val="false"/>
          <w:strike w:val="false"/>
          <w:color w:val=""/>
          <w:sz w:val="22"/>
        </w:rPr>
        <w:t>State governments vary widely in the level of attention and resources they devote to planning for and implementing disaster recovery. Some states have established programs provid</w:t>
      </w:r>
      <w:r>
        <w:rPr>
          <w:rFonts w:ascii="" w:hAnsi="" w:cs="" w:eastAsia=""/>
          <w:b w:val="false"/>
          <w:i w:val="false"/>
          <w:strike w:val="false"/>
          <w:color w:val=""/>
          <w:sz w:val="22"/>
        </w:rPr>
        <w:t>ing</w:t>
      </w:r>
      <w:r>
        <w:rPr>
          <w:rFonts w:ascii="" w:hAnsi="" w:cs="" w:eastAsia=""/>
          <w:b w:val="false"/>
          <w:i w:val="false"/>
          <w:strike w:val="false"/>
          <w:color w:val=""/>
          <w:sz w:val="22"/>
        </w:rPr>
        <w:t xml:space="preserve"> assistance to households and local governments for recovery from disasters that do not receive a PDD. In order to support these programs, some states have created state disaster funds and designated several state level departments to provide resources and expertise that are available during recovery. One example is a state planning or community development department, which can provide data or guidance on integration of sustainable development and recovery. Other examples are state environment departments, which might have coastal management programs or water quality programs, and state economic development agencies, which might administer Community Development Block Grants that can fund repairs to low income housing.</w:t>
      </w:r>
    </w:p>
    <w:p>
      <w:pPr>
        <w:pStyle w:val="BodyTextIndent2"/>
        <w:jc w:val="both"/>
      </w:pPr>
      <w:r>
        <w:rPr>
          <w:rFonts w:ascii="" w:hAnsi="" w:cs="" w:eastAsia=""/>
          <w:b w:val="false"/>
          <w:i w:val="false"/>
          <w:strike w:val="false"/>
          <w:color w:val=""/>
          <w:sz w:val="22"/>
        </w:rPr>
        <w:t xml:space="preserve">States can fund their programs through the creation of state disaster funds, but only about half </w:t>
      </w:r>
      <w:r>
        <w:rPr>
          <w:rFonts w:ascii="" w:hAnsi="" w:cs="" w:eastAsia=""/>
          <w:b w:val="false"/>
          <w:i w:val="false"/>
          <w:strike w:val="false"/>
          <w:color w:val=""/>
          <w:sz w:val="22"/>
        </w:rPr>
        <w:t xml:space="preserve">of </w:t>
      </w:r>
      <w:r>
        <w:rPr>
          <w:rFonts w:ascii="" w:hAnsi="" w:cs="" w:eastAsia=""/>
          <w:b w:val="false"/>
          <w:i w:val="false"/>
          <w:strike w:val="false"/>
          <w:color w:val=""/>
          <w:sz w:val="22"/>
        </w:rPr>
        <w:t>the states have done so. Typically, state legislatures have appropriated funds after disasters on the basis of need. Another type of disaster fund is a disaster trust fund, which creates revenue by dedicating a percentage of sales taxes or other revenues to the fund. For a more detailed discussion of federal and state disaster recovery programs, see Smith (2004).</w:t>
      </w:r>
    </w:p>
    <w:p>
      <w:pPr>
        <w:pStyle w:val=""/>
        <w:jc w:val="both"/>
      </w:pPr>
      <w:r>
        <w:rPr>
          <w:rFonts w:ascii="Times New Roman" w:hAnsi="Times New Roman" w:cs="Times New Roman" w:eastAsia="Times New Roman"/>
          <w:b w:val="true"/>
          <w:i w:val="false"/>
          <w:strike w:val="false"/>
          <w:color w:val=""/>
          <w:sz w:val="22"/>
        </w:rPr>
        <w:t xml:space="preserve">The Role of Hazard Insurance </w:t>
      </w:r>
    </w:p>
    <w:p>
      <w:pPr>
        <w:pStyle w:val=""/>
        <w:jc w:val="both"/>
      </w:pPr>
      <w:r>
        <w:rPr>
          <w:rFonts w:ascii="Times New Roman" w:hAnsi="Times New Roman" w:cs="Times New Roman" w:eastAsia="Times New Roman"/>
          <w:b w:val="false"/>
          <w:i w:val="false"/>
          <w:strike w:val="false"/>
          <w:color w:val=""/>
          <w:sz w:val="22"/>
        </w:rPr>
        <w:t xml:space="preserve">As noted in Chapter 7, hazard insurance is a preimpact recovery preparedness action. As such, it has the potential for completely replacing current programs of disaster relief. In addition, hazard insurance decreases government workload and expense after disasters by shifting part of the administrative burden for evaluating damage to insurance companies in the private sector. Finally, hazard insurance defines the terms of coverage in advance, thus reducing opportunities for politicians to increase benefits after disaster. The desire to appear to be generous creates a temptation to vote for “pork barrel” projects. The problem is that generous aid for uninsured victims angers those who had the foresight to purchase insurance in advance and, thus, provides a disincentive to purchase insurance in the future. </w:t>
      </w:r>
    </w:p>
    <w:p>
      <w:pPr>
        <w:pStyle w:val=""/>
        <w:jc w:val="both"/>
      </w:pPr>
      <w:r>
        <w:rPr>
          <w:rFonts w:ascii="Times New Roman" w:hAnsi="Times New Roman" w:cs="Times New Roman" w:eastAsia="Times New Roman"/>
          <w:b w:val="false"/>
          <w:i w:val="false"/>
          <w:strike w:val="false"/>
          <w:color w:val=""/>
          <w:sz w:val="22"/>
        </w:rPr>
        <w:t xml:space="preserve">Unfortunately, the potential contribution of hazard insurance remains to be fully realized. There are many difficulties in developing and maintaining an actuarially sound hazard insurance program. The National Flood Insurance Program has made significant strides over the past 30 years, but it continues to require operational subsidies. One of the basic problems is that those who are most likely to purchase flood insurance are, in fact, those who are most likely to file claims (Kunreuther, 1998). This problem of </w:t>
      </w:r>
      <w:r>
        <w:rPr>
          <w:rFonts w:ascii="Times New Roman" w:hAnsi="Times New Roman" w:cs="Times New Roman" w:eastAsia="Times New Roman"/>
          <w:b w:val="false"/>
          <w:i w:val="true"/>
          <w:strike w:val="false"/>
          <w:color w:val=""/>
          <w:sz w:val="22"/>
        </w:rPr>
        <w:t>adverse selection</w:t>
      </w:r>
      <w:r>
        <w:rPr>
          <w:rFonts w:ascii="Times New Roman" w:hAnsi="Times New Roman" w:cs="Times New Roman" w:eastAsia="Times New Roman"/>
          <w:b w:val="false"/>
          <w:i w:val="false"/>
          <w:strike w:val="false"/>
          <w:color w:val=""/>
          <w:sz w:val="22"/>
        </w:rPr>
        <w:t xml:space="preserve"> makes it impossible to sustain a market in private flood insurance. The federal government has tried to solve this problem by requiring flood insurance for structures located in the 100 year flood plain that are purchased with federally backed mortgages. Unfortunately, homeowners frequently allow their policies to lapse after the first year and the program has no effect on those who purchase their homes without a mortgage or have paid off their mortgages. Consequently, some homes are rebuilt soon after a disaster because their owners have high quality insurance coverage, whereas other homes take much longer because they are only partially insured. In some cases, the homeowners lack </w:t>
      </w:r>
      <w:r>
        <w:rPr>
          <w:rFonts w:ascii="Times New Roman" w:hAnsi="Times New Roman" w:cs="Times New Roman" w:eastAsia="Times New Roman"/>
          <w:b w:val="false"/>
          <w:i w:val="true"/>
          <w:strike w:val="false"/>
          <w:color w:val=""/>
          <w:sz w:val="22"/>
        </w:rPr>
        <w:t>any</w:t>
      </w:r>
      <w:r>
        <w:rPr>
          <w:rFonts w:ascii="Times New Roman" w:hAnsi="Times New Roman" w:cs="Times New Roman" w:eastAsia="Times New Roman"/>
          <w:b w:val="false"/>
          <w:i w:val="false"/>
          <w:strike w:val="false"/>
          <w:color w:val=""/>
          <w:sz w:val="22"/>
        </w:rPr>
        <w:t xml:space="preserve"> insurance because they cannot afford quality insurance or were denied access to it because of “redlining” (Peacock &amp; Girard, 1997).</w:t>
      </w:r>
    </w:p>
    <w:p>
      <w:pPr>
        <w:pStyle w:val=""/>
        <w:jc w:val="both"/>
      </w:pPr>
      <w:r>
        <w:rPr>
          <w:rFonts w:ascii="Times New Roman" w:hAnsi="Times New Roman" w:cs="Times New Roman" w:eastAsia="Times New Roman"/>
          <w:b w:val="false"/>
          <w:i w:val="false"/>
          <w:strike w:val="false"/>
          <w:color w:val=""/>
          <w:sz w:val="22"/>
        </w:rPr>
        <w:t xml:space="preserve">In addition to these institutional problems, there are cognitive obstacles to developing a comprehensive hazard insurance program. Building on earlier hazards research (see Burton, et al., 1993, for a summary) and psychological research on judgment and decisionmaking (see Slovic, et al., 1974, for an early statement and Baron, 2000, or Gilovich, Griffin &amp; Kahneman, 2002, for more recent summaries), researchers have identified numerous logical deficiencies in the ways people process information in laboratory studies of risk. </w:t>
      </w:r>
    </w:p>
    <w:p>
      <w:pPr>
        <w:pStyle w:val=""/>
        <w:jc w:val="both"/>
      </w:pPr>
      <w:r>
        <w:rPr>
          <w:rFonts w:ascii="Times New Roman" w:hAnsi="Times New Roman" w:cs="Times New Roman" w:eastAsia="Times New Roman"/>
          <w:b w:val="false"/>
          <w:i w:val="false"/>
          <w:strike w:val="false"/>
          <w:color w:val=""/>
          <w:sz w:val="22"/>
        </w:rPr>
        <w:t xml:space="preserve">One important issue concerns what economists call moral hazard and psychologists refer to as a felt lack of personal responsibility for protection. The concept of moral hazard/felt responsibility for personal protection has important policy implications because the Interagency Floodplain Management Review Committee (1994) report concluded federal disaster relief policy creates this condition by relieving households of the responsibility for providing their own disaster recovery resources. This might be a significant reason why only 20% of structures affected by the 1993 </w:t>
      </w:r>
      <w:r>
        <w:rPr>
          <w:rFonts w:ascii="Times New Roman" w:hAnsi="Times New Roman" w:cs="Times New Roman" w:eastAsia="Times New Roman"/>
          <w:b w:val="false"/>
          <w:i w:val="false"/>
          <w:strike w:val="false"/>
          <w:color w:val=""/>
          <w:sz w:val="22"/>
        </w:rPr>
        <w:t>Mississippi</w:t>
      </w:r>
      <w:r>
        <w:rPr>
          <w:rFonts w:ascii="Times New Roman" w:hAnsi="Times New Roman" w:cs="Times New Roman" w:eastAsia="Times New Roman"/>
          <w:b w:val="false"/>
          <w:i w:val="false"/>
          <w:strike w:val="false"/>
          <w:color w:val=""/>
          <w:sz w:val="22"/>
        </w:rPr>
        <w:t xml:space="preserve"> floods were insured. However, there appears to be no data </w:t>
      </w:r>
      <w:r>
        <w:rPr>
          <w:rFonts w:ascii="Times New Roman" w:hAnsi="Times New Roman" w:cs="Times New Roman" w:eastAsia="Times New Roman"/>
          <w:b w:val="false"/>
          <w:i w:val="false"/>
          <w:strike w:val="false"/>
          <w:color w:val=""/>
          <w:sz w:val="22"/>
        </w:rPr>
        <w:t>on the extent to which</w:t>
      </w:r>
      <w:r>
        <w:rPr>
          <w:rFonts w:ascii="Times New Roman" w:hAnsi="Times New Roman" w:cs="Times New Roman" w:eastAsia="Times New Roman"/>
          <w:b w:val="false"/>
          <w:i w:val="false"/>
          <w:strike w:val="false"/>
          <w:color w:val=""/>
          <w:sz w:val="22"/>
        </w:rPr>
        <w:t xml:space="preserve"> households explicitly consider the availability of disaster relief in making decisions about whether to purchase hazard insurance and adopt other hazard adjustments.</w:t>
      </w:r>
    </w:p>
    <w:p>
      <w:pPr>
        <w:pStyle w:val="BodyTextIndent2"/>
        <w:jc w:val="both"/>
      </w:pPr>
      <w:r>
        <w:rPr>
          <w:rFonts w:ascii="" w:hAnsi="" w:cs="" w:eastAsia=""/>
          <w:b w:val="true"/>
          <w:i w:val="false"/>
          <w:strike w:val="false"/>
          <w:color w:val=""/>
          <w:sz w:val="22"/>
        </w:rPr>
        <w:t xml:space="preserve">Non Governmental Organizations and Community Based Organizations </w:t>
      </w:r>
    </w:p>
    <w:p>
      <w:pPr>
        <w:pStyle w:val="BodyTextIndent2"/>
        <w:jc w:val="both"/>
      </w:pPr>
      <w:r>
        <w:rPr>
          <w:rFonts w:ascii="" w:hAnsi="" w:cs="" w:eastAsia=""/>
          <w:b w:val="false"/>
          <w:i w:val="false"/>
          <w:strike w:val="false"/>
          <w:color w:val=""/>
          <w:sz w:val="22"/>
        </w:rPr>
        <w:t xml:space="preserve">The role of NGOs such as the American Red Cross, Salvation Army, and Mennonite Disaster Service is widely publicized and the role of CBOs such as local churches and service organizations is increasingly recognized. These organizations provide housing, food, clothing, medicine, and financial assistance to disaster victims. In most cases, the </w:t>
      </w:r>
      <w:r>
        <w:rPr>
          <w:rFonts w:ascii="" w:hAnsi="" w:cs="" w:eastAsia=""/>
          <w:b w:val="false"/>
          <w:i w:val="true"/>
          <w:strike w:val="false"/>
          <w:color w:val=""/>
          <w:sz w:val="22"/>
        </w:rPr>
        <w:t>existing</w:t>
      </w:r>
      <w:r>
        <w:rPr>
          <w:rFonts w:ascii="" w:hAnsi="" w:cs="" w:eastAsia=""/>
          <w:b w:val="false"/>
          <w:i w:val="false"/>
          <w:strike w:val="false"/>
          <w:color w:val=""/>
          <w:sz w:val="22"/>
        </w:rPr>
        <w:t xml:space="preserve"> government social service agencies are supplemented by NGOs that </w:t>
      </w:r>
      <w:r>
        <w:rPr>
          <w:rFonts w:ascii="" w:hAnsi="" w:cs="" w:eastAsia=""/>
          <w:b w:val="false"/>
          <w:i w:val="true"/>
          <w:strike w:val="false"/>
          <w:color w:val=""/>
          <w:sz w:val="22"/>
        </w:rPr>
        <w:t>expand</w:t>
      </w:r>
      <w:r>
        <w:rPr>
          <w:rFonts w:ascii="" w:hAnsi="" w:cs="" w:eastAsia=""/>
          <w:b w:val="false"/>
          <w:i w:val="false"/>
          <w:strike w:val="false"/>
          <w:color w:val=""/>
          <w:sz w:val="22"/>
        </w:rPr>
        <w:t xml:space="preserve"> their membership to perform the tasks they are expected to perform </w:t>
      </w:r>
      <w:r>
        <w:rPr>
          <w:rFonts w:ascii="" w:hAnsi="" w:cs="" w:eastAsia=""/>
          <w:b w:val="false"/>
          <w:i w:val="false"/>
          <w:strike w:val="false"/>
          <w:color w:val=""/>
          <w:sz w:val="22"/>
        </w:rPr>
        <w:t xml:space="preserve">during disaster recovery (Dynes, 1970). By contrast, existing CBOs typically </w:t>
      </w:r>
      <w:r>
        <w:rPr>
          <w:rFonts w:ascii="" w:hAnsi="" w:cs="" w:eastAsia=""/>
          <w:b w:val="false"/>
          <w:i w:val="true"/>
          <w:strike w:val="false"/>
          <w:color w:val=""/>
          <w:sz w:val="22"/>
        </w:rPr>
        <w:t>extend</w:t>
      </w:r>
      <w:r>
        <w:rPr>
          <w:rFonts w:ascii="" w:hAnsi="" w:cs="" w:eastAsia=""/>
          <w:b w:val="false"/>
          <w:i w:val="false"/>
          <w:strike w:val="false"/>
          <w:color w:val=""/>
          <w:sz w:val="22"/>
        </w:rPr>
        <w:t xml:space="preserve"> themselves beyond their normal tasks to perform novel activities. In addition, there are situations in which existing, expanding, and extending organizations cannot successfully meet the recovery needs of disaster victims. In such cases, government agencies, NGOs, and CBOs form an </w:t>
      </w:r>
      <w:r>
        <w:rPr>
          <w:rFonts w:ascii="" w:hAnsi="" w:cs="" w:eastAsia=""/>
          <w:b w:val="false"/>
          <w:i w:val="true"/>
          <w:strike w:val="false"/>
          <w:color w:val=""/>
          <w:sz w:val="22"/>
        </w:rPr>
        <w:t xml:space="preserve">Unmet Needs Committee, </w:t>
      </w:r>
      <w:r>
        <w:rPr>
          <w:rFonts w:ascii="" w:hAnsi="" w:cs="" w:eastAsia=""/>
          <w:b w:val="false"/>
          <w:i w:val="false"/>
          <w:strike w:val="false"/>
          <w:color w:val=""/>
          <w:sz w:val="22"/>
        </w:rPr>
        <w:t xml:space="preserve">which is an </w:t>
      </w:r>
      <w:r>
        <w:rPr>
          <w:rFonts w:ascii="" w:hAnsi="" w:cs="" w:eastAsia=""/>
          <w:b w:val="false"/>
          <w:i w:val="true"/>
          <w:strike w:val="false"/>
          <w:color w:val=""/>
          <w:sz w:val="22"/>
        </w:rPr>
        <w:t>emergent</w:t>
      </w:r>
      <w:r>
        <w:rPr>
          <w:rFonts w:ascii="" w:hAnsi="" w:cs="" w:eastAsia=""/>
          <w:b w:val="false"/>
          <w:i w:val="false"/>
          <w:strike w:val="false"/>
          <w:color w:val=""/>
          <w:sz w:val="22"/>
        </w:rPr>
        <w:t xml:space="preserve"> organization that is designed to serve those whose needs are not being addressed by existing programs. </w:t>
      </w:r>
    </w:p>
    <w:p>
      <w:pPr>
        <w:pStyle w:val="BodyTextIndent2"/>
        <w:jc w:val="both"/>
      </w:pPr>
      <w:r>
        <w:rPr>
          <w:rFonts w:ascii="" w:hAnsi="" w:cs="" w:eastAsia=""/>
          <w:b w:val="false"/>
          <w:i w:val="false"/>
          <w:strike w:val="false"/>
          <w:color w:val=""/>
          <w:sz w:val="22"/>
        </w:rPr>
        <w:t xml:space="preserve">In some cases, the need for such emergent organizations arises from political organization and activism by population segments that believe they are being neglected (Morrow &amp; Peacock, 1997; Phillips, 1993a). Local authorities should anticipate recovery demands, plan for an </w:t>
      </w:r>
      <w:r>
        <w:rPr>
          <w:rFonts w:ascii="" w:hAnsi="" w:cs="" w:eastAsia=""/>
          <w:b w:val="false"/>
          <w:i w:val="true"/>
          <w:strike w:val="false"/>
          <w:color w:val=""/>
          <w:sz w:val="22"/>
        </w:rPr>
        <w:t>Unmet Needs Committee,</w:t>
      </w:r>
      <w:r>
        <w:rPr>
          <w:rFonts w:ascii="" w:hAnsi="" w:cs="" w:eastAsia=""/>
          <w:b w:val="false"/>
          <w:i w:val="false"/>
          <w:strike w:val="false"/>
          <w:color w:val=""/>
          <w:sz w:val="22"/>
        </w:rPr>
        <w:t xml:space="preserve"> and communicate its existence throughout the community. When emergent organizations do arise, they can be incorporated into the ongoing recovery management process in order to learn from their knowledge about the unmet needs and ensure that there is an equitable distribution of disaster recovery resources. For a more detailed discussion of NGO activities in disaster recovery, see Smith (2004).</w:t>
      </w:r>
    </w:p>
    <w:p>
      <w:pPr>
        <w:pStyle w:val="Heading1"/>
        <w:jc w:val="both"/>
      </w:pPr>
      <w:r>
        <w:rPr>
          <w:rFonts w:ascii="Times New Roman" w:hAnsi="Times New Roman" w:cs="Times New Roman" w:eastAsia="Times New Roman"/>
          <w:b w:val="false"/>
          <w:i w:val="false"/>
          <w:strike w:val="false"/>
          <w:color w:val=""/>
          <w:sz w:val="22"/>
        </w:rPr>
        <w:t>Local Government Recovery Functions</w:t>
      </w:r>
    </w:p>
    <w:p>
      <w:pPr>
        <w:pStyle w:val=""/>
        <w:jc w:val="both"/>
      </w:pPr>
      <w:r>
        <w:rPr>
          <w:rFonts w:ascii="Times New Roman" w:hAnsi="Times New Roman" w:cs="Times New Roman" w:eastAsia="Times New Roman"/>
          <w:b w:val="false"/>
          <w:i w:val="false"/>
          <w:strike w:val="false"/>
          <w:color w:val=""/>
          <w:sz w:val="22"/>
        </w:rPr>
        <w:t xml:space="preserve">After a disaster, local government needs to perform many tasks very quickly, and many of these must be performed simultaneously. It is therefore critical to plan for disaster recovery, as well as for disaster response (Schwab, et al., 1998). The line between emergency response and disaster recovery is not clear because some sectors of the community might be in response mode while others are moving into recovery, and some organizations will be carrying on both types of activity at the same time. This means that there will be little time to plan for disaster recovery once the emergency response has begun. By planning for recovery before disaster strikes, resources can be allocated more effectively and efficiently, increasing the probability of a rapid and full recovery. The following discussion is </w:t>
      </w:r>
      <w:r>
        <w:rPr>
          <w:rFonts w:ascii="Times New Roman" w:hAnsi="Times New Roman" w:cs="Times New Roman" w:eastAsia="Times New Roman"/>
          <w:b w:val="false"/>
          <w:i w:val="false"/>
          <w:strike w:val="false"/>
          <w:color w:val=""/>
          <w:sz w:val="22"/>
        </w:rPr>
        <w:t>based on</w:t>
      </w:r>
      <w:r>
        <w:rPr>
          <w:rFonts w:ascii="Times New Roman" w:hAnsi="Times New Roman" w:cs="Times New Roman" w:eastAsia="Times New Roman"/>
          <w:b w:val="false"/>
          <w:i w:val="false"/>
          <w:strike w:val="false"/>
          <w:color w:val=""/>
          <w:sz w:val="22"/>
        </w:rPr>
        <w:t xml:space="preserve"> the concept of preimpact planning for disaster recovery because a lack of planning will delay decisions about the allocation of recovery resources and the procedures by which they will be used. A lack of preimpact planning can also increase the probability of conflicts arising due to competition over scarce resources during the recovery period. </w:t>
      </w:r>
    </w:p>
    <w:p>
      <w:pPr>
        <w:pStyle w:val=""/>
        <w:jc w:val="both"/>
      </w:pPr>
      <w:r>
        <w:rPr>
          <w:rFonts w:ascii="Times New Roman" w:hAnsi="Times New Roman" w:cs="Times New Roman" w:eastAsia="Times New Roman"/>
          <w:b w:val="false"/>
          <w:i w:val="false"/>
          <w:strike w:val="false"/>
          <w:color w:val=""/>
          <w:sz w:val="22"/>
        </w:rPr>
        <w:t xml:space="preserve">The previous sections of this chapter have described the tasks that households and businesses perform during disaster recovery and the resources they use to implement this recovery. When households and businesses lack the knowledge of how to recover or the resources needed to recover, government can provide assistance. Local government must also perform specific tasks during disaster recovery, some of which involve restoring services it performed before the disaster (e.g., providing functioning roads, street lights and signs, and traffic control devices). In addition, local government must rebuild any critical facilities (e.g., police and fire stations) that were damaged or destroyed. Finally, local government has a heightened need to perform its regulatory functions regarding land use and building construction. These two functions require rapid action under conditions of a greatly multiplied workload, so special provisions are required to expedite the procedures for reviewing and approving the (re)development of private property. </w:t>
      </w:r>
    </w:p>
    <w:p>
      <w:pPr>
        <w:pStyle w:val=""/>
        <w:jc w:val="both"/>
      </w:pPr>
      <w:r>
        <w:rPr>
          <w:rFonts w:ascii="Times New Roman" w:hAnsi="Times New Roman" w:cs="Times New Roman" w:eastAsia="Times New Roman"/>
          <w:b w:val="false"/>
          <w:i w:val="false"/>
          <w:strike w:val="false"/>
          <w:color w:val=""/>
          <w:sz w:val="22"/>
        </w:rPr>
        <w:t xml:space="preserve">In approaching the task of preimpact recovery planning, a community must overcome three major misconceptions about disaster recovery. The first misconception is that the entire recovery effort can be improvised after the emergency response is complete. In fact, a timely and effective disaster recovery requires a significant amount of data collection and planning that will delay the recovery if they are postponed until after the emergency response is over. It is important to recognize that the disaster response phase’s uncertainty and urgency about human safety has been replaced by households’ and businesses’ </w:t>
      </w:r>
      <w:r>
        <w:rPr>
          <w:rFonts w:ascii="Times New Roman" w:hAnsi="Times New Roman" w:cs="Times New Roman" w:eastAsia="Times New Roman"/>
          <w:b w:val="false"/>
          <w:i w:val="false"/>
          <w:strike w:val="false"/>
          <w:color w:val=""/>
          <w:sz w:val="22"/>
        </w:rPr>
        <w:t xml:space="preserve">urgency to return to normal patterns of functioning and government agencies’ uncertainty about how to organize the community to accomplish this. </w:t>
      </w:r>
    </w:p>
    <w:p>
      <w:pPr>
        <w:pStyle w:val=""/>
        <w:jc w:val="both"/>
      </w:pPr>
      <w:r>
        <w:rPr>
          <w:rFonts w:ascii="Times New Roman" w:hAnsi="Times New Roman" w:cs="Times New Roman" w:eastAsia="Times New Roman"/>
          <w:b w:val="false"/>
          <w:i w:val="false"/>
          <w:strike w:val="false"/>
          <w:color w:val=""/>
          <w:sz w:val="22"/>
        </w:rPr>
        <w:t>The second misconception is that there will be ample time to collect data and plan the recovery during the emergency response. It is true that some recovery relevant data must be collected during the emergency response. However, an assessment of “lessons learned” from the disaster impact should be used to guide a recovery process that has been designed before the disaster strikes. Finally, the third misconception is that the objective of disaster recovery should be to restore the community to the conditions that existed before the disaster. As noted earlier, this will simply reproduce the community’s existing disaster vulnerability.</w:t>
      </w:r>
    </w:p>
    <w:p>
      <w:pPr>
        <w:pStyle w:val=""/>
        <w:jc w:val="both"/>
      </w:pPr>
      <w:r>
        <w:rPr>
          <w:rFonts w:ascii="Times New Roman" w:hAnsi="Times New Roman" w:cs="Times New Roman" w:eastAsia="Times New Roman"/>
          <w:b w:val="false"/>
          <w:i w:val="false"/>
          <w:strike w:val="false"/>
          <w:color w:val=""/>
          <w:sz w:val="22"/>
        </w:rPr>
        <w:t xml:space="preserve">In many ways, the process of preparedness for disaster recovery is quite similar to the process of preparedness for emergency response. Thus, the community should establish a Recovery/Mitigation Committee before disaster strikes that will establish a vision of community disaster recovery and articulate the basic strategies that will be implemented before and after disaster impact. In addition, the committee should assign each recovery function to a specific organization, develop a Recovery Operations Plan (ROP), and acquire any necessary resources to implement it. Finally, the committee should conduct the training and tabletop exercises needed to ensure the ROP can be implemented effectively. </w:t>
      </w:r>
    </w:p>
    <w:p>
      <w:pPr>
        <w:pStyle w:val=""/>
        <w:jc w:val="both"/>
      </w:pPr>
      <w:r>
        <w:rPr>
          <w:rFonts w:ascii="Times New Roman" w:hAnsi="Times New Roman" w:cs="Times New Roman" w:eastAsia="Times New Roman"/>
          <w:b w:val="false"/>
          <w:i w:val="true"/>
          <w:strike w:val="false"/>
          <w:color w:val=""/>
          <w:sz w:val="22"/>
        </w:rPr>
        <w:t xml:space="preserve">The Recovery/Mitigation Committee </w:t>
      </w:r>
    </w:p>
    <w:p>
      <w:pPr>
        <w:pStyle w:val="BodyTextIndent2"/>
        <w:jc w:val="both"/>
      </w:pPr>
      <w:r>
        <w:rPr>
          <w:rFonts w:ascii="" w:hAnsi="" w:cs="" w:eastAsia=""/>
          <w:b w:val="false"/>
          <w:i w:val="false"/>
          <w:strike w:val="false"/>
          <w:color w:val=""/>
          <w:sz w:val="22"/>
        </w:rPr>
        <w:t>The LEMC’s Recovery/Mitigation Committee can be an important part of an effective, rapid disaster recovery process. As noted in Chapter 3, this committee should be established before a disaster during the preimpact recovery planning process. Personnel should be designated to serve on this committee, including a chairperson and a lead agency, usually the local planning department. The jurisdiction’s Chief Administrative Officer, usually the city mayor or the county executive, should publish a planning directive, and the Recovery/Mitigation Committee chairperson should establish a planning schedule. Many government agencies should participate in the Recovery/Mitigation Committee, including the directors of the local planning, building, public works, engineering, parks and recreation, economic development, finance, housing, and social services departments, as well as the jurisdiction’s PIO (Schwab, et al., 1998). In addition, there should be representatives from local utility companies, other local business organizations, religious and charitable organizations, and representatives of neighborhood associations.</w:t>
      </w:r>
    </w:p>
    <w:p>
      <w:pPr>
        <w:pStyle w:val="BodyTextIndent2"/>
        <w:jc w:val="both"/>
      </w:pPr>
      <w:r>
        <w:rPr>
          <w:rFonts w:ascii="" w:hAnsi="" w:cs="" w:eastAsia=""/>
          <w:b w:val="false"/>
          <w:i w:val="false"/>
          <w:strike w:val="false"/>
          <w:color w:val=""/>
          <w:sz w:val="22"/>
        </w:rPr>
        <w:t xml:space="preserve">The Recovery/Mitigation Committee should examine the findings from the </w:t>
      </w:r>
      <w:r>
        <w:rPr>
          <w:rFonts w:ascii="" w:hAnsi="" w:cs="" w:eastAsia=""/>
          <w:b w:val="false"/>
          <w:i w:val="false"/>
          <w:strike w:val="false"/>
          <w:color w:val=""/>
          <w:sz w:val="22"/>
        </w:rPr>
        <w:t>community HVA</w:t>
      </w:r>
      <w:r>
        <w:rPr>
          <w:rFonts w:ascii="" w:hAnsi="" w:cs="" w:eastAsia=""/>
          <w:b w:val="false"/>
          <w:i w:val="false"/>
          <w:strike w:val="false"/>
          <w:color w:val=""/>
          <w:sz w:val="22"/>
        </w:rPr>
        <w:t xml:space="preserve"> to identify the locations hav</w:t>
      </w:r>
      <w:r>
        <w:rPr>
          <w:rFonts w:ascii="" w:hAnsi="" w:cs="" w:eastAsia=""/>
          <w:b w:val="false"/>
          <w:i w:val="false"/>
          <w:strike w:val="false"/>
          <w:color w:val=""/>
          <w:sz w:val="22"/>
        </w:rPr>
        <w:t>ing</w:t>
      </w:r>
      <w:r>
        <w:rPr>
          <w:rFonts w:ascii="" w:hAnsi="" w:cs="" w:eastAsia=""/>
          <w:b w:val="false"/>
          <w:i w:val="false"/>
          <w:strike w:val="false"/>
          <w:color w:val=""/>
          <w:sz w:val="22"/>
        </w:rPr>
        <w:t xml:space="preserve"> the highest </w:t>
      </w:r>
      <w:r>
        <w:rPr>
          <w:rFonts w:ascii="" w:hAnsi="" w:cs="" w:eastAsia=""/>
          <w:b w:val="false"/>
          <w:i w:val="false"/>
          <w:strike w:val="false"/>
          <w:color w:val=""/>
          <w:sz w:val="22"/>
        </w:rPr>
        <w:t xml:space="preserve">levels of </w:t>
      </w:r>
      <w:r>
        <w:rPr>
          <w:rFonts w:ascii="" w:hAnsi="" w:cs="" w:eastAsia=""/>
          <w:b w:val="false"/>
          <w:i w:val="false"/>
          <w:strike w:val="false"/>
          <w:color w:val=""/>
          <w:sz w:val="22"/>
        </w:rPr>
        <w:t xml:space="preserve">hazard exposure, physical vulnerability, and social vulnerability. The committee should begin to work with the rest of the community, and especially with those at greatest risk, to formulate a vision of the disaster recovery it intends to implement. </w:t>
      </w:r>
    </w:p>
    <w:p>
      <w:pPr>
        <w:pStyle w:val=""/>
        <w:jc w:val="both"/>
      </w:pPr>
      <w:r>
        <w:rPr>
          <w:rFonts w:ascii="Times New Roman" w:hAnsi="Times New Roman" w:cs="Times New Roman" w:eastAsia="Times New Roman"/>
          <w:b w:val="false"/>
          <w:i w:val="false"/>
          <w:strike w:val="false"/>
          <w:color w:val=""/>
          <w:sz w:val="22"/>
        </w:rPr>
        <w:t xml:space="preserve">Next, the committee should develop an ROP that integrates the likely disaster impacts, community goals, and public and private sector capabilities within the community. In addition, the ROP should identify external sources of assistance (federal, state, NGO), recognize their loan/grant requirements, and integrate these into a comprehensive program of disaster assistance. The committee should </w:t>
      </w:r>
      <w:r>
        <w:rPr>
          <w:rFonts w:ascii="Times New Roman" w:hAnsi="Times New Roman" w:cs="Times New Roman" w:eastAsia="Times New Roman"/>
          <w:b w:val="false"/>
          <w:i w:val="false"/>
          <w:strike w:val="false"/>
          <w:color w:val=""/>
          <w:sz w:val="22"/>
        </w:rPr>
        <w:t xml:space="preserve">also </w:t>
      </w:r>
      <w:r>
        <w:rPr>
          <w:rFonts w:ascii="Times New Roman" w:hAnsi="Times New Roman" w:cs="Times New Roman" w:eastAsia="Times New Roman"/>
          <w:b w:val="false"/>
          <w:i w:val="false"/>
          <w:strike w:val="false"/>
          <w:color w:val=""/>
          <w:sz w:val="22"/>
        </w:rPr>
        <w:t>develop a financial plan for responding to the disaster. Bolin (1993) reported that city revenues from a heavily damaged central business district were 5% of total revenues before the earthquake, declined sharply in the year after the earthquake, and took about four years to return to previous level. This clearly affects the jurisdiction’s tax revenues.</w:t>
      </w:r>
    </w:p>
    <w:p>
      <w:pPr>
        <w:pStyle w:val="BodyTextIndent2"/>
        <w:jc w:val="both"/>
      </w:pPr>
      <w:r>
        <w:rPr>
          <w:rFonts w:ascii="" w:hAnsi="" w:cs="" w:eastAsia=""/>
          <w:b w:val="false"/>
          <w:i w:val="false"/>
          <w:strike w:val="false"/>
          <w:color w:val=""/>
          <w:sz w:val="22"/>
        </w:rPr>
        <w:t xml:space="preserve">Moreover, the committee should establish agreements with NGOs and CBOs (especially local churches, neighborhood associations, and other citizens’ groups) for support in disaster recovery because these organizations provide financial and in-kind support, as well as legal and technical assistance. After a </w:t>
      </w:r>
      <w:r>
        <w:rPr>
          <w:rFonts w:ascii="" w:hAnsi="" w:cs="" w:eastAsia=""/>
          <w:b w:val="false"/>
          <w:i w:val="false"/>
          <w:strike w:val="false"/>
          <w:color w:val=""/>
          <w:sz w:val="22"/>
        </w:rPr>
        <w:t xml:space="preserve">disaster strikes, the Recovery/Mitigation Committee should ensure that organizations respond within the scope of their responsibilities to implement the ROP. </w:t>
      </w:r>
    </w:p>
    <w:p>
      <w:pPr>
        <w:pStyle w:val=""/>
        <w:jc w:val="both"/>
      </w:pPr>
      <w:r>
        <w:rPr>
          <w:rFonts w:ascii="Times New Roman" w:hAnsi="Times New Roman" w:cs="Times New Roman" w:eastAsia="Times New Roman"/>
          <w:b w:val="false"/>
          <w:i w:val="true"/>
          <w:strike w:val="false"/>
          <w:color w:val=""/>
          <w:sz w:val="22"/>
        </w:rPr>
        <w:t>Envisioning a Community Recovery Strategy</w:t>
      </w:r>
    </w:p>
    <w:p>
      <w:pPr>
        <w:pStyle w:val=""/>
        <w:jc w:val="both"/>
      </w:pPr>
      <w:r>
        <w:rPr>
          <w:rFonts w:ascii="Times New Roman" w:hAnsi="Times New Roman" w:cs="Times New Roman" w:eastAsia="Times New Roman"/>
          <w:b w:val="false"/>
          <w:i w:val="false"/>
          <w:strike w:val="false"/>
          <w:color w:val=""/>
          <w:sz w:val="22"/>
        </w:rPr>
        <w:t xml:space="preserve">The Recovery/Mitigation Committee needs to work with the community before and after a disaster to articulate a vision of community disaster recovery. The recovery process needs to strike a balance between corporate centered and community based economic development (Bingham, 2000). According to a </w:t>
      </w:r>
      <w:r>
        <w:rPr>
          <w:rFonts w:ascii="Times New Roman" w:hAnsi="Times New Roman" w:cs="Times New Roman" w:eastAsia="Times New Roman"/>
          <w:b w:val="false"/>
          <w:i w:val="true"/>
          <w:strike w:val="false"/>
          <w:color w:val=""/>
          <w:sz w:val="22"/>
        </w:rPr>
        <w:t>corporate centered economic development</w:t>
      </w:r>
      <w:r>
        <w:rPr>
          <w:rFonts w:ascii="Times New Roman" w:hAnsi="Times New Roman" w:cs="Times New Roman" w:eastAsia="Times New Roman"/>
          <w:b w:val="false"/>
          <w:i w:val="false"/>
          <w:strike w:val="false"/>
          <w:color w:val=""/>
          <w:sz w:val="22"/>
        </w:rPr>
        <w:t xml:space="preserve">, usually advocated by the local business community, government provides resources such as land and money to the private sector to invest without any restrictions. This market based strategy tends to produce results that are good in aggregate but produces an inequitable recovery. By contrast, </w:t>
      </w:r>
      <w:r>
        <w:rPr>
          <w:rFonts w:ascii="Times New Roman" w:hAnsi="Times New Roman" w:cs="Times New Roman" w:eastAsia="Times New Roman"/>
          <w:b w:val="false"/>
          <w:i w:val="true"/>
          <w:strike w:val="false"/>
          <w:color w:val=""/>
          <w:sz w:val="22"/>
        </w:rPr>
        <w:t>community based economic development</w:t>
      </w:r>
      <w:r>
        <w:rPr>
          <w:rFonts w:ascii="Times New Roman" w:hAnsi="Times New Roman" w:cs="Times New Roman" w:eastAsia="Times New Roman"/>
          <w:b w:val="false"/>
          <w:i w:val="false"/>
          <w:strike w:val="false"/>
          <w:color w:val=""/>
          <w:sz w:val="22"/>
        </w:rPr>
        <w:t xml:space="preserve"> involves active participation by government to ensure that the benefits of recovery will also be shared by economically disadvantaged segments of the community. </w:t>
      </w:r>
    </w:p>
    <w:p>
      <w:pPr>
        <w:pStyle w:val=""/>
        <w:jc w:val="both"/>
      </w:pPr>
      <w:r>
        <w:rPr>
          <w:rFonts w:ascii="Times New Roman" w:hAnsi="Times New Roman" w:cs="Times New Roman" w:eastAsia="Times New Roman"/>
          <w:b w:val="false"/>
          <w:i w:val="false"/>
          <w:strike w:val="false"/>
          <w:color w:val=""/>
          <w:sz w:val="22"/>
        </w:rPr>
        <w:t xml:space="preserve">The short term recovery following a major disaster can generate an economic boom as state and federal money flows into the community to reconstruct damaged buildings and infrastructure. These funds are used to pay for construction materials and the construction workforce and, to the extent that the materials and labor are acquired locally, they generate local revenues. In addition, the building suppliers hire additional workers and these, along with the construction workers, spend their wages on places to live, food to eat, and entertainment. Unless there are undamaged communities within commuting distance that can compete for this money, it will all be spent within the community. </w:t>
      </w:r>
    </w:p>
    <w:p>
      <w:pPr>
        <w:pStyle w:val=""/>
        <w:jc w:val="both"/>
      </w:pPr>
      <w:r>
        <w:rPr>
          <w:rFonts w:ascii="Times New Roman" w:hAnsi="Times New Roman" w:cs="Times New Roman" w:eastAsia="Times New Roman"/>
          <w:b w:val="false"/>
          <w:i w:val="false"/>
          <w:strike w:val="false"/>
          <w:color w:val=""/>
          <w:sz w:val="22"/>
        </w:rPr>
        <w:t xml:space="preserve">Communities must also consider the long term economic consequences of disaster recovery. What will happen after the reconstruction boom is over? They can attract new businesses if they have a skilled labor pool and good schools—especially colleges whose faculty and students can support knowledge based industries. Other assets include low crime rates, low cost of living, good housing, and environmental amenities such as mountains, rivers, or lakes (Blakely, 2000). </w:t>
      </w:r>
      <w:r>
        <w:rPr>
          <w:rFonts w:ascii="Times New Roman" w:hAnsi="Times New Roman" w:cs="Times New Roman" w:eastAsia="Times New Roman"/>
          <w:b w:val="false"/>
          <w:i w:val="false"/>
          <w:strike w:val="false"/>
          <w:color w:val=""/>
          <w:sz w:val="22"/>
        </w:rPr>
        <w:t>A c</w:t>
      </w:r>
      <w:r>
        <w:rPr>
          <w:rFonts w:ascii="Times New Roman" w:hAnsi="Times New Roman" w:cs="Times New Roman" w:eastAsia="Times New Roman"/>
          <w:b w:val="false"/>
          <w:i w:val="false"/>
          <w:strike w:val="false"/>
          <w:color w:val=""/>
          <w:sz w:val="22"/>
        </w:rPr>
        <w:t>ommunit</w:t>
      </w:r>
      <w:r>
        <w:rPr>
          <w:rFonts w:ascii="Times New Roman" w:hAnsi="Times New Roman" w:cs="Times New Roman" w:eastAsia="Times New Roman"/>
          <w:b w:val="false"/>
          <w:i w:val="false"/>
          <w:strike w:val="false"/>
          <w:color w:val=""/>
          <w:sz w:val="22"/>
        </w:rPr>
        <w:t>y</w:t>
      </w:r>
      <w:r>
        <w:rPr>
          <w:rFonts w:ascii="Times New Roman" w:hAnsi="Times New Roman" w:cs="Times New Roman" w:eastAsia="Times New Roman"/>
          <w:b w:val="false"/>
          <w:i w:val="false"/>
          <w:strike w:val="false"/>
          <w:color w:val=""/>
          <w:sz w:val="22"/>
        </w:rPr>
        <w:t xml:space="preserve"> can also enhance </w:t>
      </w:r>
      <w:r>
        <w:rPr>
          <w:rFonts w:ascii="Times New Roman" w:hAnsi="Times New Roman" w:cs="Times New Roman" w:eastAsia="Times New Roman"/>
          <w:b w:val="false"/>
          <w:i w:val="false"/>
          <w:strike w:val="false"/>
          <w:color w:val=""/>
          <w:sz w:val="22"/>
        </w:rPr>
        <w:t>its</w:t>
      </w:r>
      <w:r>
        <w:rPr>
          <w:rFonts w:ascii="Times New Roman" w:hAnsi="Times New Roman" w:cs="Times New Roman" w:eastAsia="Times New Roman"/>
          <w:b w:val="false"/>
          <w:i w:val="false"/>
          <w:strike w:val="false"/>
          <w:color w:val=""/>
          <w:sz w:val="22"/>
        </w:rPr>
        <w:t xml:space="preserve"> economic base if </w:t>
      </w:r>
      <w:r>
        <w:rPr>
          <w:rFonts w:ascii="Times New Roman" w:hAnsi="Times New Roman" w:cs="Times New Roman" w:eastAsia="Times New Roman"/>
          <w:b w:val="false"/>
          <w:i w:val="false"/>
          <w:strike w:val="false"/>
          <w:color w:val=""/>
          <w:sz w:val="22"/>
        </w:rPr>
        <w:t>it</w:t>
      </w:r>
      <w:r>
        <w:rPr>
          <w:rFonts w:ascii="Times New Roman" w:hAnsi="Times New Roman" w:cs="Times New Roman" w:eastAsia="Times New Roman"/>
          <w:b w:val="false"/>
          <w:i w:val="false"/>
          <w:strike w:val="false"/>
          <w:color w:val=""/>
          <w:sz w:val="22"/>
        </w:rPr>
        <w:t xml:space="preserve"> can attract businesses that are compatible with the ones that are already there. Such firms can be identified by asking existing firms </w:t>
      </w:r>
      <w:r>
        <w:rPr>
          <w:rFonts w:ascii="Times New Roman" w:hAnsi="Times New Roman" w:cs="Times New Roman" w:eastAsia="Times New Roman"/>
          <w:b w:val="false"/>
          <w:i w:val="false"/>
          <w:strike w:val="false"/>
          <w:color w:val=""/>
          <w:sz w:val="22"/>
        </w:rPr>
        <w:t xml:space="preserve">to identify </w:t>
      </w:r>
      <w:r>
        <w:rPr>
          <w:rFonts w:ascii="Times New Roman" w:hAnsi="Times New Roman" w:cs="Times New Roman" w:eastAsia="Times New Roman"/>
          <w:b w:val="false"/>
          <w:i w:val="false"/>
          <w:strike w:val="false"/>
          <w:color w:val=""/>
          <w:sz w:val="22"/>
        </w:rPr>
        <w:t xml:space="preserve">their suppliers and distributors. These new firms might be attracted by the newer buildings and enhanced infrastructure that has been produced </w:t>
      </w:r>
      <w:r>
        <w:rPr>
          <w:rFonts w:ascii="Times New Roman" w:hAnsi="Times New Roman" w:cs="Times New Roman" w:eastAsia="Times New Roman"/>
          <w:b w:val="false"/>
          <w:i w:val="false"/>
          <w:strike w:val="false"/>
          <w:color w:val=""/>
          <w:sz w:val="22"/>
        </w:rPr>
        <w:t>during</w:t>
      </w:r>
      <w:r>
        <w:rPr>
          <w:rFonts w:ascii="Times New Roman" w:hAnsi="Times New Roman" w:cs="Times New Roman" w:eastAsia="Times New Roman"/>
          <w:b w:val="false"/>
          <w:i w:val="false"/>
          <w:strike w:val="false"/>
          <w:color w:val=""/>
          <w:sz w:val="22"/>
        </w:rPr>
        <w:t xml:space="preserve"> disaster reconstruction. </w:t>
      </w:r>
    </w:p>
    <w:p>
      <w:pPr>
        <w:pStyle w:val=""/>
        <w:jc w:val="both"/>
      </w:pPr>
      <w:r>
        <w:rPr>
          <w:rFonts w:ascii="Times New Roman" w:hAnsi="Times New Roman" w:cs="Times New Roman" w:eastAsia="Times New Roman"/>
          <w:b w:val="false"/>
          <w:i w:val="false"/>
          <w:strike w:val="false"/>
          <w:color w:val=""/>
          <w:sz w:val="22"/>
        </w:rPr>
        <w:t xml:space="preserve">If a disaster stricken community does not already have such assets, they can invest in four fundamental components of economic development—locality development, business development, human resources development, and community development. </w:t>
      </w:r>
      <w:r>
        <w:rPr>
          <w:rFonts w:ascii="Times New Roman" w:hAnsi="Times New Roman" w:cs="Times New Roman" w:eastAsia="Times New Roman"/>
          <w:b w:val="false"/>
          <w:i w:val="true"/>
          <w:strike w:val="false"/>
          <w:color w:val=""/>
          <w:sz w:val="22"/>
        </w:rPr>
        <w:t>Locality development</w:t>
      </w:r>
      <w:r>
        <w:rPr>
          <w:rFonts w:ascii="Times New Roman" w:hAnsi="Times New Roman" w:cs="Times New Roman" w:eastAsia="Times New Roman"/>
          <w:b w:val="false"/>
          <w:i w:val="false"/>
          <w:strike w:val="false"/>
          <w:color w:val=""/>
          <w:sz w:val="22"/>
        </w:rPr>
        <w:t xml:space="preserve"> enhanc</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a community’s existing physical assets by improving roads or establishing parks on river and lakefronts. </w:t>
      </w:r>
      <w:r>
        <w:rPr>
          <w:rFonts w:ascii="Times New Roman" w:hAnsi="Times New Roman" w:cs="Times New Roman" w:eastAsia="Times New Roman"/>
          <w:b w:val="false"/>
          <w:i w:val="true"/>
          <w:strike w:val="false"/>
          <w:color w:val=""/>
          <w:sz w:val="22"/>
        </w:rPr>
        <w:t xml:space="preserve">Business development </w:t>
      </w:r>
      <w:r>
        <w:rPr>
          <w:rFonts w:ascii="Times New Roman" w:hAnsi="Times New Roman" w:cs="Times New Roman" w:eastAsia="Times New Roman"/>
          <w:b w:val="false"/>
          <w:i w:val="false"/>
          <w:strike w:val="false"/>
          <w:color w:val=""/>
          <w:sz w:val="22"/>
        </w:rPr>
        <w:t xml:space="preserve">involves efforts to retain existing businesses or attract new ones. Although it is not easy, this can be accomplished working with businesses to identify their critical needs. In some cases, this might involve establishing a business incubator that allows startup companies to obtain low cost space and share meetings rooms. </w:t>
      </w:r>
      <w:r>
        <w:rPr>
          <w:rFonts w:ascii="Times New Roman" w:hAnsi="Times New Roman" w:cs="Times New Roman" w:eastAsia="Times New Roman"/>
          <w:b w:val="false"/>
          <w:i w:val="true"/>
          <w:strike w:val="false"/>
          <w:color w:val=""/>
          <w:sz w:val="22"/>
        </w:rPr>
        <w:t>Human resources development</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expands the</w:t>
      </w:r>
      <w:r>
        <w:rPr>
          <w:rFonts w:ascii="Times New Roman" w:hAnsi="Times New Roman" w:cs="Times New Roman" w:eastAsia="Times New Roman"/>
          <w:b w:val="false"/>
          <w:i w:val="false"/>
          <w:strike w:val="false"/>
          <w:color w:val=""/>
          <w:sz w:val="22"/>
        </w:rPr>
        <w:t xml:space="preserve"> skilled workforce, possibly through customized worker training. Finally, </w:t>
      </w:r>
      <w:r>
        <w:rPr>
          <w:rFonts w:ascii="Times New Roman" w:hAnsi="Times New Roman" w:cs="Times New Roman" w:eastAsia="Times New Roman"/>
          <w:b w:val="false"/>
          <w:i w:val="true"/>
          <w:strike w:val="false"/>
          <w:color w:val=""/>
          <w:sz w:val="22"/>
        </w:rPr>
        <w:t>community development</w:t>
      </w:r>
      <w:r>
        <w:rPr>
          <w:rFonts w:ascii="Times New Roman" w:hAnsi="Times New Roman" w:cs="Times New Roman" w:eastAsia="Times New Roman"/>
          <w:b w:val="false"/>
          <w:i w:val="false"/>
          <w:strike w:val="false"/>
          <w:color w:val=""/>
          <w:sz w:val="22"/>
        </w:rPr>
        <w:t xml:space="preserve"> utiliz</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NGOs, CBOs, and local firms that will hire current residents of the community whose household incomes are below the poverty level. For example, a comprehensive program for developing small businesses, affordable housing, community health clinics, and inexpensive child care can help to eliminate some of what new businesses might consider to be one of the risks of relocating to the community.</w:t>
      </w:r>
    </w:p>
    <w:p>
      <w:pPr>
        <w:pStyle w:val=""/>
        <w:jc w:val="both"/>
      </w:pPr>
      <w:r>
        <w:rPr>
          <w:rFonts w:ascii="Times New Roman" w:hAnsi="Times New Roman" w:cs="Times New Roman" w:eastAsia="Times New Roman"/>
          <w:b w:val="false"/>
          <w:i w:val="true"/>
          <w:strike w:val="false"/>
          <w:color w:val=""/>
          <w:sz w:val="22"/>
        </w:rPr>
        <w:t xml:space="preserve">Developing a Recovery Operations Plan </w:t>
      </w:r>
    </w:p>
    <w:p>
      <w:pPr>
        <w:pStyle w:val="BodyTextIndent2"/>
        <w:jc w:val="both"/>
      </w:pPr>
      <w:r>
        <w:rPr>
          <w:rFonts w:ascii="" w:hAnsi="" w:cs="" w:eastAsia=""/>
          <w:b w:val="false"/>
          <w:i w:val="false"/>
          <w:strike w:val="false"/>
          <w:color w:val=""/>
          <w:sz w:val="22"/>
        </w:rPr>
        <w:t>As was the case with emergency response, the demands of disaster recovery imply that specific functions be performed. Table 11-6 identifies four principal disaster recovery functions—disaster assessment, short term recovery, long term reconstruction, and recovery management. The recovery phase’s disaster assessment function should be integrated with the emergency response phase’s emergency assessment function in identifying the physical impacts of the disaster. Short term recovery focuses on the immediate tasks of securing the impact area, housing victims, and establishing conditions under which households and businesses can begin the process of recovery. Long term reconstruction actually implements the reconstruction of the disaster impact area and manages the disaster’s psychological, demographic, economic, and political impacts. Finally, recovery management monitors the performance of the disaster assessment, short term recovery, and long term reconstruction functions</w:t>
      </w:r>
      <w:r>
        <w:rPr>
          <w:rFonts w:ascii="" w:hAnsi="" w:cs="" w:eastAsia=""/>
          <w:b w:val="false"/>
          <w:i w:val="false"/>
          <w:strike w:val="false"/>
          <w:color w:val=""/>
          <w:sz w:val="22"/>
        </w:rPr>
        <w:t>. It also</w:t>
      </w:r>
      <w:r>
        <w:rPr>
          <w:rFonts w:ascii="" w:hAnsi="" w:cs="" w:eastAsia=""/>
          <w:b w:val="false"/>
          <w:i w:val="false"/>
          <w:strike w:val="false"/>
          <w:color w:val=""/>
          <w:sz w:val="22"/>
        </w:rPr>
        <w:t xml:space="preserve"> ensures </w:t>
      </w:r>
      <w:r>
        <w:rPr>
          <w:rFonts w:ascii="" w:hAnsi="" w:cs="" w:eastAsia=""/>
          <w:b w:val="false"/>
          <w:i w:val="false"/>
          <w:strike w:val="false"/>
          <w:color w:val=""/>
          <w:sz w:val="22"/>
        </w:rPr>
        <w:t>they are coordinated</w:t>
      </w:r>
      <w:r>
        <w:rPr>
          <w:rFonts w:ascii="" w:hAnsi="" w:cs="" w:eastAsia=""/>
          <w:b w:val="false"/>
          <w:i w:val="false"/>
          <w:strike w:val="false"/>
          <w:color w:val=""/>
          <w:sz w:val="22"/>
        </w:rPr>
        <w:t xml:space="preserve"> and provides the resources needed to accomplish them. The following section describes each of these functions in greater detail.</w:t>
      </w:r>
    </w:p>
    <w:p>
      <w:pPr>
        <w:pStyle w:val="BodyTextIndent2"/>
        <w:jc w:val="both"/>
      </w:pPr>
      <w:r>
        <w:rPr>
          <w:rFonts w:ascii="" w:hAnsi="" w:cs="" w:eastAsia=""/>
          <w:b w:val="true"/>
          <w:i w:val="false"/>
          <w:strike w:val="false"/>
          <w:color w:val=""/>
          <w:sz w:val="22"/>
        </w:rPr>
        <w:t>Table 11-6</w:t>
      </w:r>
      <w:r>
        <w:rPr>
          <w:rFonts w:ascii="" w:hAnsi="" w:cs="" w:eastAsia=""/>
          <w:b w:val="false"/>
          <w:i w:val="false"/>
          <w:strike w:val="false"/>
          <w:color w:val=""/>
          <w:sz w:val="22"/>
        </w:rPr>
        <w:t>.</w:t>
      </w:r>
      <w:r>
        <w:rPr>
          <w:rFonts w:ascii="" w:hAnsi="" w:cs="" w:eastAsia=""/>
          <w:b w:val="false"/>
          <w:i w:val="false"/>
          <w:strike w:val="false"/>
          <w:color w:val=""/>
          <w:sz w:val="22"/>
        </w:rPr>
        <w:t>Disaster Recovery Functions.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r>
        <w:rPr>
          <w:rFonts w:ascii="" w:hAnsi="" w:cs="" w:eastAsia=""/>
          <w:b w:val="false"/>
          <w:i w:val="true"/>
          <w:strike w:val="false"/>
          <w:color w:val=""/>
          <w:sz w:val="22"/>
        </w:rPr>
        <w:t>Disaster Assessment</w:t>
      </w:r>
    </w:p>
    <w:p>
      <w:pPr>
        <w:pStyle w:val="BodyTextIndent2"/>
        <w:jc w:val="both"/>
      </w:pPr>
      <w:r>
        <w:rPr>
          <w:rFonts w:ascii="" w:hAnsi="" w:cs="" w:eastAsia=""/>
          <w:b w:val="false"/>
          <w:i w:val="false"/>
          <w:strike w:val="false"/>
          <w:color w:val=""/>
          <w:sz w:val="22"/>
        </w:rPr>
        <w:t xml:space="preserve">Disaster assessment includes both physical and social impact assessment. Physical impact assessment, which is usually called </w:t>
      </w:r>
      <w:r>
        <w:rPr>
          <w:rFonts w:ascii="" w:hAnsi="" w:cs="" w:eastAsia=""/>
          <w:b w:val="false"/>
          <w:i w:val="true"/>
          <w:strike w:val="false"/>
          <w:color w:val=""/>
          <w:sz w:val="22"/>
        </w:rPr>
        <w:t>damage assessment</w:t>
      </w:r>
      <w:r>
        <w:rPr>
          <w:rFonts w:ascii="" w:hAnsi="" w:cs="" w:eastAsia=""/>
          <w:b w:val="false"/>
          <w:i w:val="false"/>
          <w:strike w:val="false"/>
          <w:color w:val=""/>
          <w:sz w:val="22"/>
        </w:rPr>
        <w:t xml:space="preserve">, must </w:t>
      </w:r>
      <w:r>
        <w:rPr>
          <w:rFonts w:ascii="" w:hAnsi="" w:cs="" w:eastAsia=""/>
          <w:b w:val="false"/>
          <w:i w:val="false"/>
          <w:strike w:val="false"/>
          <w:color w:val=""/>
          <w:sz w:val="22"/>
        </w:rPr>
        <w:t>address</w:t>
      </w:r>
      <w:r>
        <w:rPr>
          <w:rFonts w:ascii="" w:hAnsi="" w:cs="" w:eastAsia=""/>
          <w:b w:val="false"/>
          <w:i w:val="false"/>
          <w:strike w:val="false"/>
          <w:color w:val=""/>
          <w:sz w:val="22"/>
        </w:rPr>
        <w:t xml:space="preserve"> residential, commercial, and industrial buildings. In addition, there is a need to conduct damage assessment for infrastructure such as water, sewer, electric power, fuel, transportation, and telecommunications systems. Finally, damage assessment also must address critical facilities such as hospitals, police stations, and fire stations. In addition, there is a need for social impact assessment, usually called victims’ needs assessment to assure that the available recovery programs are meeting victims’ needs. Finally, “lessons learned” examines the disaster’s physical and social impacts to identify ways in which the mitigation actions can be taken to reduce the community’s hazard vulnerability.</w:t>
      </w:r>
    </w:p>
    <w:p>
      <w:pPr>
        <w:pStyle w:val="BodyTextIndent2"/>
        <w:jc w:val="both"/>
      </w:pPr>
      <w:r>
        <w:rPr>
          <w:rFonts w:ascii="" w:hAnsi="" w:cs="" w:eastAsia=""/>
          <w:b w:val="false"/>
          <w:i w:val="true"/>
          <w:strike w:val="false"/>
          <w:color w:val=""/>
          <w:sz w:val="22"/>
        </w:rPr>
        <w:t>Damage assessment</w:t>
      </w:r>
      <w:r>
        <w:rPr>
          <w:rFonts w:ascii="" w:hAnsi="" w:cs="" w:eastAsia=""/>
          <w:b w:val="false"/>
          <w:i w:val="false"/>
          <w:strike w:val="false"/>
          <w:color w:val=""/>
          <w:sz w:val="22"/>
        </w:rPr>
        <w:t xml:space="preserve">. There are three basic types of damage assessment (FEMA, 1995c). The first type, </w:t>
      </w:r>
      <w:r>
        <w:rPr>
          <w:rFonts w:ascii="" w:hAnsi="" w:cs="" w:eastAsia=""/>
          <w:b w:val="false"/>
          <w:i w:val="true"/>
          <w:strike w:val="false"/>
          <w:color w:val=""/>
          <w:sz w:val="22"/>
        </w:rPr>
        <w:t>rapid assessment</w:t>
      </w:r>
      <w:r>
        <w:rPr>
          <w:rFonts w:ascii="" w:hAnsi="" w:cs="" w:eastAsia=""/>
          <w:b w:val="false"/>
          <w:i w:val="false"/>
          <w:strike w:val="false"/>
          <w:color w:val=""/>
          <w:sz w:val="22"/>
        </w:rPr>
        <w:t xml:space="preserve">, is usually conducted during the emergency response, preferably within the first 24 hours (Schwab, et al., 1998). The purpose of rapid assessment is to identify the areas affected by the disaster and the approximate magnitude of the disaster’s physical impacts. It is especially important to assess the need for lifesaving activities very quickly, so rapid assessment should be completed within one to three hours after disaster impact. In turn, this allows emergency managers to determine where there are collapsed buildings requiring search and rescue operations and whether there is a potential for secondary </w:t>
      </w:r>
      <w:r>
        <w:rPr>
          <w:rFonts w:ascii="" w:hAnsi="" w:cs="" w:eastAsia=""/>
          <w:b w:val="false"/>
          <w:i w:val="false"/>
          <w:strike w:val="false"/>
          <w:color w:val=""/>
          <w:sz w:val="22"/>
        </w:rPr>
        <w:t xml:space="preserve">impacts </w:t>
      </w:r>
      <w:r>
        <w:rPr>
          <w:rFonts w:ascii="" w:hAnsi="" w:cs="" w:eastAsia=""/>
          <w:b w:val="false"/>
          <w:i w:val="false"/>
          <w:strike w:val="false"/>
          <w:color w:val=""/>
          <w:sz w:val="22"/>
        </w:rPr>
        <w:t xml:space="preserve">such as hazmat releases after an earthquake. Rapid assessment also provides information about the status of infrastructure and critical facilities, as well as whether there is likely to be a need for assistance from other local jurisdictions or other levels of government. A rapid assessment is performed by available police, fire, and public works personnel—both on shift and recalled to duty—to conduct assessments in predetermined geographic sectors of the community. Supplementary data can be provided for a rapid assessment from the private sector organizations that own or operate lifelines and critical facilities. </w:t>
      </w:r>
    </w:p>
    <w:p>
      <w:pPr>
        <w:pStyle w:val="BodyTextIndent2"/>
        <w:jc w:val="both"/>
      </w:pPr>
      <w:r>
        <w:rPr>
          <w:rFonts w:ascii="" w:hAnsi="" w:cs="" w:eastAsia=""/>
          <w:b w:val="false"/>
          <w:i w:val="false"/>
          <w:strike w:val="false"/>
          <w:color w:val=""/>
          <w:sz w:val="22"/>
        </w:rPr>
        <w:t xml:space="preserve">The second type of assessment is the </w:t>
      </w:r>
      <w:r>
        <w:rPr>
          <w:rFonts w:ascii="" w:hAnsi="" w:cs="" w:eastAsia=""/>
          <w:b w:val="false"/>
          <w:i w:val="true"/>
          <w:strike w:val="false"/>
          <w:color w:val=""/>
          <w:sz w:val="22"/>
        </w:rPr>
        <w:t>preliminary damage assessment</w:t>
      </w:r>
      <w:r>
        <w:rPr>
          <w:rFonts w:ascii="" w:hAnsi="" w:cs="" w:eastAsia=""/>
          <w:b w:val="false"/>
          <w:i w:val="false"/>
          <w:strike w:val="false"/>
          <w:color w:val=""/>
          <w:sz w:val="22"/>
        </w:rPr>
        <w:t xml:space="preserve">, which is designed to produce counts of destroyed, severely damaged, moderately damaged, and slightly damaged structures. This level of assessment should be completed within a 3-4 days, depending on the size and accessibility of the impact area and the number and prior training of the damage assessment teams. The data from the preliminary damage assessment are used to support requests for state and federal disaster declarations. A preliminary damage assessment is performed by having local government personnel perform </w:t>
      </w:r>
      <w:r>
        <w:rPr>
          <w:rFonts w:ascii="" w:hAnsi="" w:cs="" w:eastAsia=""/>
          <w:b w:val="false"/>
          <w:i w:val="true"/>
          <w:strike w:val="false"/>
          <w:color w:val=""/>
          <w:sz w:val="22"/>
        </w:rPr>
        <w:t>windshield surveys</w:t>
      </w:r>
      <w:r>
        <w:rPr>
          <w:rFonts w:ascii="" w:hAnsi="" w:cs="" w:eastAsia=""/>
          <w:b w:val="false"/>
          <w:i w:val="false"/>
          <w:strike w:val="false"/>
          <w:color w:val=""/>
          <w:sz w:val="22"/>
        </w:rPr>
        <w:t xml:space="preserve"> by driving along all of the streets in the impact area (as the name suggests, they do not get out of their cars). Inspectors tally counts of damaged structures, with residential structures being classified by income levels and structural categories (single family, mobile home, multifamily residential structures). Buildings can then be tagged red, yellow, or green depending on the level of damage and occupant safety, with red tagged buildings being unsuitable for occupancy. A preliminary damage assessment should also include estimates of percentages of households with insurance coverage because this will affect the speed with which affected individuals and communities are able to replace their housing. </w:t>
      </w:r>
    </w:p>
    <w:p>
      <w:pPr>
        <w:pStyle w:val="BodyTextIndent2"/>
        <w:jc w:val="both"/>
      </w:pPr>
      <w:r>
        <w:rPr>
          <w:rFonts w:ascii="" w:hAnsi="" w:cs="" w:eastAsia=""/>
          <w:b w:val="false"/>
          <w:i w:val="false"/>
          <w:strike w:val="false"/>
          <w:color w:val=""/>
          <w:sz w:val="22"/>
        </w:rPr>
        <w:t xml:space="preserve">Finally, a </w:t>
      </w:r>
      <w:r>
        <w:rPr>
          <w:rFonts w:ascii="" w:hAnsi="" w:cs="" w:eastAsia=""/>
          <w:b w:val="false"/>
          <w:i w:val="true"/>
          <w:strike w:val="false"/>
          <w:color w:val=""/>
          <w:sz w:val="22"/>
        </w:rPr>
        <w:t>site assessment</w:t>
      </w:r>
      <w:r>
        <w:rPr>
          <w:rFonts w:ascii="" w:hAnsi="" w:cs="" w:eastAsia=""/>
          <w:b w:val="false"/>
          <w:i w:val="false"/>
          <w:strike w:val="false"/>
          <w:color w:val=""/>
          <w:sz w:val="22"/>
        </w:rPr>
        <w:t xml:space="preserve"> is meant to produce detailed estimates of the cost to repair or replace each affected structure. This information is used to support requests for federal assistance to the owners of the damaged property. It includes estimates of losses to residential properties in order to understand both the level of need for temporary shelter and temporary housing and for repair assistance. Losses to commercial and industrial structures are assessed in order to understand the level of need for repair assistance and economic injury assistance. Losses to public property must be assessed in order for the community to apply for repair assistance. Site assessments require technically trained personnel such as architects, structural engineers, and building inspectors for multistory structures such as apartment buildings. These personnel can usually be drawn from city staff, but additional personnel might be recruited from other local organizations or </w:t>
      </w:r>
      <w:r>
        <w:rPr>
          <w:rFonts w:ascii="" w:hAnsi="" w:cs="" w:eastAsia=""/>
          <w:b w:val="false"/>
          <w:i w:val="false"/>
          <w:strike w:val="false"/>
          <w:color w:val=""/>
          <w:sz w:val="22"/>
        </w:rPr>
        <w:t>obtained</w:t>
      </w:r>
      <w:r>
        <w:rPr>
          <w:rFonts w:ascii="" w:hAnsi="" w:cs="" w:eastAsia=""/>
          <w:b w:val="false"/>
          <w:i w:val="false"/>
          <w:strike w:val="false"/>
          <w:color w:val=""/>
          <w:sz w:val="22"/>
        </w:rPr>
        <w:t xml:space="preserve"> from outside the community (e.g., through mutual aid agreements with other jurisdictions or memoranda of agreement with professional societies). Skilled construction professionals can be supplemented by volunteers who can conduct site assessments for most single family residences if they have been trained in the use of well designed checklists. A site assessment might take weeks to complete, depending on the size and accessibility of the impact area as well as the number and training level of the assessment </w:t>
      </w:r>
      <w:r>
        <w:rPr>
          <w:rFonts w:ascii="" w:hAnsi="" w:cs="" w:eastAsia=""/>
          <w:b w:val="false"/>
          <w:i w:val="false"/>
          <w:strike w:val="false"/>
          <w:color w:val=""/>
          <w:sz w:val="22"/>
        </w:rPr>
        <w:t>personnel</w:t>
      </w:r>
      <w:r>
        <w:rPr>
          <w:rFonts w:ascii="" w:hAnsi="" w:cs="" w:eastAsia=""/>
          <w:b w:val="false"/>
          <w:i w:val="false"/>
          <w:strike w:val="false"/>
          <w:color w:val=""/>
          <w:sz w:val="22"/>
        </w:rPr>
        <w:t>. These methods of damage assessment can be compared to the procedures of cost estimation that are used in routine construction projects, as shown in Table 11-7.</w:t>
      </w:r>
    </w:p>
    <w:p>
      <w:pPr>
        <w:pStyle w:val="BodyTextIndent2"/>
        <w:jc w:val="both"/>
      </w:pPr>
      <w:r>
        <w:rPr>
          <w:rFonts w:ascii="" w:hAnsi="" w:cs="" w:eastAsia=""/>
          <w:b w:val="true"/>
          <w:i w:val="false"/>
          <w:strike w:val="false"/>
          <w:color w:val=""/>
          <w:sz w:val="22"/>
        </w:rPr>
        <w:t>Table 11-7</w:t>
      </w:r>
      <w:r>
        <w:rPr>
          <w:rFonts w:ascii="" w:hAnsi="" w:cs="" w:eastAsia=""/>
          <w:b w:val="false"/>
          <w:i w:val="false"/>
          <w:strike w:val="false"/>
          <w:color w:val=""/>
          <w:sz w:val="22"/>
        </w:rPr>
        <w:t>. Types of Postdisaster Damage Assessments.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r>
        <w:rPr>
          <w:rFonts w:ascii="" w:hAnsi="" w:cs="" w:eastAsia=""/>
          <w:b w:val="false"/>
          <w:i w:val="false"/>
          <w:strike w:val="false"/>
          <w:color w:val=""/>
          <w:sz w:val="22"/>
        </w:rPr>
        <w:t>In preparing for the necessary damage assessments, staff from local government departments should be assigned to Damage Assessment Teams (DATs). Their numbers should be augmented as needed by staff from local private sector organizations and neighboring jurisdictions through memoranda of agreement (MOAs) or other contractual arrangements. All DAT members should be trained in a common assessment procedure in order to speed up the process and generate results that are comparable across all DATs within the jurisdiction.</w:t>
      </w:r>
    </w:p>
    <w:p>
      <w:pPr>
        <w:pStyle w:val="BodyTextIndent2"/>
        <w:jc w:val="both"/>
      </w:pP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The effects of disasters are not confined to physical damage. In addition, affected communities must assess the needs of those individuals and groups who have lost property, been injured, or lost family members. This procedure, called a </w:t>
      </w: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should begin during the preimpact recovery planning process. The first step is to identify the community’s vulnerable segments, which may be defined as specific locations and neighborhoods, or types of households and businesses. The local jurisdiction should assign staff to Victims’ Needs Assessment Teams (VNATs) and supplement them with staff from other organizations. These supplementary staff should be assigned by contract with NGOs and CBOs and trained together with the government staff in methods of victims’ needs assessment. </w:t>
      </w:r>
    </w:p>
    <w:p>
      <w:pPr>
        <w:pStyle w:val="BodyTextIndent2"/>
        <w:jc w:val="both"/>
      </w:pPr>
      <w:r>
        <w:rPr>
          <w:rFonts w:ascii="" w:hAnsi="" w:cs="" w:eastAsia=""/>
          <w:b w:val="false"/>
          <w:i w:val="false"/>
          <w:strike w:val="false"/>
          <w:color w:val=""/>
          <w:sz w:val="22"/>
        </w:rPr>
        <w:t xml:space="preserve">The need for public assistance to finance household and business recovery is inversely related to the savings rate. That is, the lower the savings rate, the higher the need for public assistance. Unfortunately, the savings rate in the </w:t>
      </w:r>
      <w:r>
        <w:rPr>
          <w:rFonts w:ascii="" w:hAnsi="" w:cs="" w:eastAsia=""/>
          <w:b w:val="false"/>
          <w:i w:val="false"/>
          <w:strike w:val="false"/>
          <w:color w:val=""/>
          <w:sz w:val="22"/>
        </w:rPr>
        <w:t>US</w:t>
      </w:r>
      <w:r>
        <w:rPr>
          <w:rFonts w:ascii="" w:hAnsi="" w:cs="" w:eastAsia=""/>
          <w:b w:val="false"/>
          <w:i w:val="false"/>
          <w:strike w:val="false"/>
          <w:color w:val=""/>
          <w:sz w:val="22"/>
        </w:rPr>
        <w:t xml:space="preserve"> has been extremely low for the past decade, so the VNATs should be prepared to find large numbers of households and businesses needing recovery assistance. In addition to housing needs, VNATs should also be prepared to identify households’ needs for employment and other economic assistance (e.g., food, clothing, and other basic needs), as well as their psychological needs. If they are given adequate preimpact training, VNAT team members will be knowledgeable about the availability of local, state, federal, and NGO disaster recovery programs. In turn, this will enable them to accurately diagnose victims’ needs and refer them to the appropriate recovery programs.</w:t>
      </w:r>
    </w:p>
    <w:p>
      <w:pPr>
        <w:pStyle w:val="BodyTextIndent2"/>
        <w:jc w:val="both"/>
      </w:pPr>
      <w:r>
        <w:rPr>
          <w:rFonts w:ascii="" w:hAnsi="" w:cs="" w:eastAsia=""/>
          <w:b w:val="false"/>
          <w:i w:val="true"/>
          <w:strike w:val="false"/>
          <w:color w:val=""/>
          <w:sz w:val="22"/>
        </w:rPr>
        <w:t>“Lessons learned”</w:t>
      </w:r>
      <w:r>
        <w:rPr>
          <w:rFonts w:ascii="" w:hAnsi="" w:cs="" w:eastAsia=""/>
          <w:b w:val="false"/>
          <w:i w:val="false"/>
          <w:strike w:val="false"/>
          <w:color w:val=""/>
          <w:sz w:val="22"/>
        </w:rPr>
        <w:t>. Unless the Recovery/Mitigation Committee establishes evaluation procedures, few lessons are likely to be learned and applied to improving the community’s resilience. Therefore, it should establish a “Lessons Learned” subcommittee, procedures for studying the event, and a well defined scope for its report. The recovery team should use the damage assessment as an opportunity to determine what are the ways, if any, that the jurisdiction should modify its land use plan, building code, and other community operations in the light of the disaster impact. Other issues to be considered should include infrastructure location and replacement, the capital improvements program</w:t>
      </w:r>
      <w:r>
        <w:rPr>
          <w:rFonts w:ascii="" w:hAnsi="" w:cs="" w:eastAsia=""/>
          <w:b w:val="false"/>
          <w:i w:val="false"/>
          <w:strike w:val="false"/>
          <w:color w:val=""/>
          <w:sz w:val="22"/>
        </w:rPr>
        <w:t>, and the provisions of the ROP itself</w:t>
      </w:r>
      <w:r>
        <w:rPr>
          <w:rFonts w:ascii="" w:hAnsi="" w:cs="" w:eastAsia=""/>
          <w:b w:val="false"/>
          <w:i w:val="false"/>
          <w:strike w:val="false"/>
          <w:color w:val=""/>
          <w:sz w:val="22"/>
        </w:rPr>
        <w:t xml:space="preserve">. The delivery date of the report should be set fairly early in the recovery process, perhaps 30 days after the disaster, so its recommendations can be incorporated into the recovery process. This should be an adequate amount of time to collect data, deliberate the implications, and make recommendations for policy revision if the jurisdiction has declared a 30 day moratorium on reconstruction. </w:t>
      </w:r>
    </w:p>
    <w:p>
      <w:pPr>
        <w:pStyle w:val="BodyTextIndent2"/>
        <w:jc w:val="both"/>
      </w:pPr>
      <w:r>
        <w:rPr>
          <w:rFonts w:ascii="" w:hAnsi="" w:cs="" w:eastAsia=""/>
          <w:b w:val="false"/>
          <w:i w:val="true"/>
          <w:strike w:val="false"/>
          <w:color w:val=""/>
          <w:sz w:val="22"/>
        </w:rPr>
        <w:t>Short Term Recovery</w:t>
      </w:r>
    </w:p>
    <w:p>
      <w:pPr>
        <w:pStyle w:val="BodyTextIndent2"/>
        <w:jc w:val="both"/>
      </w:pPr>
      <w:r>
        <w:rPr>
          <w:rFonts w:ascii="" w:hAnsi="" w:cs="" w:eastAsia=""/>
          <w:b w:val="false"/>
          <w:i w:val="true"/>
          <w:strike w:val="false"/>
          <w:color w:val=""/>
          <w:sz w:val="22"/>
        </w:rPr>
        <w:t>Impact area security and reentry.</w:t>
      </w:r>
      <w:r>
        <w:rPr>
          <w:rFonts w:ascii="Arial" w:hAnsi="Arial" w:cs="Arial" w:eastAsia="Arial"/>
          <w:b w:val="false"/>
          <w:i w:val="false"/>
          <w:strike w:val="false"/>
          <w:color w:val=""/>
          <w:sz w:val="22"/>
        </w:rPr>
        <w:t xml:space="preserve"> </w:t>
      </w:r>
      <w:r>
        <w:rPr>
          <w:rFonts w:ascii="" w:hAnsi="" w:cs="" w:eastAsia=""/>
          <w:b w:val="false"/>
          <w:i w:val="false"/>
          <w:strike w:val="false"/>
          <w:color w:val=""/>
          <w:sz w:val="22"/>
        </w:rPr>
        <w:t xml:space="preserve">First, there is a need to maintain security in the impact area to ensure residents do not return before it is safe to do so and also to protect vulnerable property from the </w:t>
      </w:r>
      <w:r>
        <w:rPr>
          <w:rFonts w:ascii="" w:hAnsi="" w:cs="" w:eastAsia=""/>
          <w:b w:val="false"/>
          <w:i w:val="false"/>
          <w:strike w:val="false"/>
          <w:color w:val=""/>
          <w:sz w:val="22"/>
        </w:rPr>
        <w:t xml:space="preserve">threat of looting. Addressing these issues requires jurisdictions to develop procedures for residents’ reentry. Unfortunately, there is little research on ending evacuations to guide the planning process (Stallings, 1991), but there is anecdotal evidence of problems that have arisen after disasters. The available evidence indicates a need to provide for temporary reentry to remove essential items (e.g., clothing and medications) and permanent reentry for continuous habitation. In both cases, hazardous conditions must have abated sufficiently to allow people to enter safely. In some cases, hazard abatement might include the demolition of severely damaged buildings and the removal of heavy debris. In addition, proper identification listing a local address is needed to </w:t>
      </w:r>
      <w:r>
        <w:rPr>
          <w:rFonts w:ascii="" w:hAnsi="" w:cs="" w:eastAsia=""/>
          <w:b w:val="false"/>
          <w:i w:val="false"/>
          <w:strike w:val="false"/>
          <w:color w:val=""/>
          <w:sz w:val="22"/>
        </w:rPr>
        <w:t>en</w:t>
      </w:r>
      <w:r>
        <w:rPr>
          <w:rFonts w:ascii="" w:hAnsi="" w:cs="" w:eastAsia=""/>
          <w:b w:val="false"/>
          <w:i w:val="false"/>
          <w:strike w:val="false"/>
          <w:color w:val=""/>
          <w:sz w:val="22"/>
        </w:rPr>
        <w:t xml:space="preserve">sure only residents or authorized reconstruction personnel are allowed </w:t>
      </w:r>
      <w:r>
        <w:rPr>
          <w:rFonts w:ascii="" w:hAnsi="" w:cs="" w:eastAsia=""/>
          <w:b w:val="false"/>
          <w:i w:val="false"/>
          <w:strike w:val="false"/>
          <w:color w:val=""/>
          <w:sz w:val="22"/>
        </w:rPr>
        <w:t>to enter</w:t>
      </w:r>
      <w:r>
        <w:rPr>
          <w:rFonts w:ascii="" w:hAnsi="" w:cs="" w:eastAsia=""/>
          <w:b w:val="false"/>
          <w:i w:val="false"/>
          <w:strike w:val="false"/>
          <w:color w:val=""/>
          <w:sz w:val="22"/>
        </w:rPr>
        <w:t>. Finally, a jurisdiction must establish basic habitability criteria, such as the restoration of transportation and sewer systems. It is possible to allow people to return before electric power is available because some people have their own generators, but the criteria should be established ahead of time. If the disaster has had a regional impact, reentry should be coordinated with neighboring jurisdictions.</w:t>
      </w:r>
    </w:p>
    <w:p>
      <w:pPr>
        <w:pStyle w:val="BodyTextIndent2"/>
        <w:jc w:val="both"/>
      </w:pPr>
      <w:r>
        <w:rPr>
          <w:rFonts w:ascii="" w:hAnsi="" w:cs="" w:eastAsia=""/>
          <w:b w:val="false"/>
          <w:i w:val="true"/>
          <w:strike w:val="false"/>
          <w:color w:val=""/>
          <w:sz w:val="22"/>
        </w:rPr>
        <w:t>Temporary population shelter/housing</w:t>
      </w:r>
      <w:r>
        <w:rPr>
          <w:rFonts w:ascii="" w:hAnsi="" w:cs="" w:eastAsia=""/>
          <w:b w:val="false"/>
          <w:i w:val="false"/>
          <w:strike w:val="false"/>
          <w:color w:val=""/>
          <w:sz w:val="22"/>
        </w:rPr>
        <w:t>. As indicated in the discussion of households’ housing recovery, victims first find temporary shelter in the homes of friends and relatives, commercial facilities such hotels and motels, or mass care facilities such as auditoriums and gymnasiums. The evidence is clear that the majority of evacuees prefer the homes of friends and relatives. Among those whose friends and relatives are either too far away or are themselves victims, the more affluent choose commercial facilities and the poor—usually 10-25% of the evacuees—stay in mass care facilities (Mileti, et al., 1992).</w:t>
      </w:r>
    </w:p>
    <w:p>
      <w:pPr>
        <w:pStyle w:val=""/>
        <w:jc w:val="both"/>
      </w:pPr>
      <w:r>
        <w:rPr>
          <w:rFonts w:ascii="Times New Roman" w:hAnsi="Times New Roman" w:cs="Times New Roman" w:eastAsia="Times New Roman"/>
          <w:b w:val="false"/>
          <w:i w:val="false"/>
          <w:strike w:val="false"/>
          <w:color w:val=""/>
          <w:sz w:val="22"/>
        </w:rPr>
        <w:t xml:space="preserve">Mass care facilities must accommodate differences due to age (elderly and children), ethnicity, and physical limitations (e.g., mobility). </w:t>
      </w:r>
      <w:r>
        <w:rPr>
          <w:rFonts w:ascii="Times New Roman" w:hAnsi="Times New Roman" w:cs="Times New Roman" w:eastAsia="Times New Roman"/>
          <w:b w:val="false"/>
          <w:i w:val="false"/>
          <w:strike w:val="false"/>
          <w:color w:val=""/>
          <w:sz w:val="22"/>
        </w:rPr>
        <w:t>Such facilities</w:t>
      </w:r>
      <w:r>
        <w:rPr>
          <w:rFonts w:ascii="Times New Roman" w:hAnsi="Times New Roman" w:cs="Times New Roman" w:eastAsia="Times New Roman"/>
          <w:b w:val="false"/>
          <w:i w:val="false"/>
          <w:strike w:val="false"/>
          <w:color w:val=""/>
          <w:sz w:val="22"/>
        </w:rPr>
        <w:t xml:space="preserve"> make it difficult to accommodate household differences in such behaviors as personal sanitation, privacy, child rearing, and hours and loudness of social interaction. They also place increased demands on time for other tasks, which reduces time for child care, resulting in loss of control over children. Lack of personal space and privacy consistently generate ethnic and class tensions among those in mass shelters and closely spaced semiprivate shelters such as tents (Yelvington, 1997). Operation of mass care facilities can be especially complex after major disasters in urban areas. In such cases, there will be a need for a large contingent of local multilingual volunteers to assist in multiethnic communities and enough people to provide continued staffing for a long duration displacement. </w:t>
      </w:r>
      <w:r>
        <w:rPr>
          <w:rFonts w:ascii="Times New Roman" w:hAnsi="Times New Roman" w:cs="Times New Roman" w:eastAsia="Times New Roman"/>
          <w:b w:val="false"/>
          <w:i w:val="false"/>
          <w:strike w:val="false"/>
          <w:color w:val=""/>
          <w:sz w:val="22"/>
        </w:rPr>
        <w:t>Emergency managers can expect</w:t>
      </w:r>
      <w:r>
        <w:rPr>
          <w:rFonts w:ascii="Times New Roman" w:hAnsi="Times New Roman" w:cs="Times New Roman" w:eastAsia="Times New Roman"/>
          <w:b w:val="false"/>
          <w:i w:val="false"/>
          <w:strike w:val="false"/>
          <w:color w:val=""/>
          <w:sz w:val="22"/>
        </w:rPr>
        <w:t xml:space="preserve"> thousands of volunteers in first few weeks, but there are likely to be dramatic drops in volunteerism after the second week (Yelvington, 1997). Crowding and stress make it important to maintain transparency in making decisions about </w:t>
      </w:r>
      <w:r>
        <w:rPr>
          <w:rFonts w:ascii="Times New Roman" w:hAnsi="Times New Roman" w:cs="Times New Roman" w:eastAsia="Times New Roman"/>
          <w:b w:val="false"/>
          <w:i w:val="false"/>
          <w:strike w:val="false"/>
          <w:color w:val=""/>
          <w:sz w:val="22"/>
        </w:rPr>
        <w:t>facility</w:t>
      </w:r>
      <w:r>
        <w:rPr>
          <w:rFonts w:ascii="Times New Roman" w:hAnsi="Times New Roman" w:cs="Times New Roman" w:eastAsia="Times New Roman"/>
          <w:b w:val="false"/>
          <w:i w:val="false"/>
          <w:strike w:val="false"/>
          <w:color w:val=""/>
          <w:sz w:val="22"/>
        </w:rPr>
        <w:t xml:space="preserve"> operation and to establish procedures for coping with predisaster homeless, construction workers, and others who do not qualify for shelter and housing (Bolin, 1993).</w:t>
      </w:r>
    </w:p>
    <w:p>
      <w:pPr>
        <w:pStyle w:val="BodyTextIndent2"/>
        <w:jc w:val="both"/>
      </w:pPr>
      <w:r>
        <w:rPr>
          <w:rFonts w:ascii="" w:hAnsi="" w:cs="" w:eastAsia=""/>
          <w:b w:val="false"/>
          <w:i w:val="false"/>
          <w:strike w:val="false"/>
          <w:color w:val=""/>
          <w:sz w:val="22"/>
        </w:rPr>
        <w:t>The incentives for</w:t>
      </w:r>
      <w:r>
        <w:rPr>
          <w:rFonts w:ascii="" w:hAnsi="" w:cs="" w:eastAsia=""/>
          <w:b w:val="false"/>
          <w:i w:val="false"/>
          <w:strike w:val="false"/>
          <w:color w:val=""/>
          <w:sz w:val="22"/>
        </w:rPr>
        <w:t xml:space="preserve"> mov</w:t>
      </w:r>
      <w:r>
        <w:rPr>
          <w:rFonts w:ascii="" w:hAnsi="" w:cs="" w:eastAsia=""/>
          <w:b w:val="false"/>
          <w:i w:val="false"/>
          <w:strike w:val="false"/>
          <w:color w:val=""/>
          <w:sz w:val="22"/>
        </w:rPr>
        <w:t>ing</w:t>
      </w:r>
      <w:r>
        <w:rPr>
          <w:rFonts w:ascii="" w:hAnsi="" w:cs="" w:eastAsia=""/>
          <w:b w:val="false"/>
          <w:i w:val="false"/>
          <w:strike w:val="false"/>
          <w:color w:val=""/>
          <w:sz w:val="22"/>
        </w:rPr>
        <w:t xml:space="preserve"> from temporary shelter to temporary housing </w:t>
      </w:r>
      <w:r>
        <w:rPr>
          <w:rFonts w:ascii="" w:hAnsi="" w:cs="" w:eastAsia=""/>
          <w:b w:val="false"/>
          <w:i w:val="false"/>
          <w:strike w:val="false"/>
          <w:color w:val=""/>
          <w:sz w:val="22"/>
        </w:rPr>
        <w:t>should be</w:t>
      </w:r>
      <w:r>
        <w:rPr>
          <w:rFonts w:ascii="" w:hAnsi="" w:cs="" w:eastAsia=""/>
          <w:b w:val="false"/>
          <w:i w:val="false"/>
          <w:strike w:val="false"/>
          <w:color w:val=""/>
          <w:sz w:val="22"/>
        </w:rPr>
        <w:t xml:space="preserve"> obvious. “Doubling up” </w:t>
      </w:r>
      <w:r>
        <w:rPr>
          <w:rFonts w:ascii="" w:hAnsi="" w:cs="" w:eastAsia=""/>
          <w:b w:val="false"/>
          <w:i w:val="false"/>
          <w:strike w:val="false"/>
          <w:color w:val=""/>
          <w:sz w:val="22"/>
        </w:rPr>
        <w:t xml:space="preserve">with friends and relatives </w:t>
      </w:r>
      <w:r>
        <w:rPr>
          <w:rFonts w:ascii="" w:hAnsi="" w:cs="" w:eastAsia=""/>
          <w:b w:val="false"/>
          <w:i w:val="false"/>
          <w:strike w:val="false"/>
          <w:color w:val=""/>
          <w:sz w:val="22"/>
        </w:rPr>
        <w:t xml:space="preserve">eventually causes friction in interpersonal relationships, commercial facilities are a drain on family finances, and mass care facilities are crowded, noisy, and lack the privacy to which people are accustomed. When the number of displaced households is less than the vacancy rate for affordable housing within commuting time of jobs, the existing housing market can accommodate the relocation. To the degree that there are few vacancies, the rental rates are high, or the commuting time is excessive (either because of the travel distance or because crowded routes decrease average driving speed), government is likely to be called upon to increase the stock of temporary housing by bringing in mobile homes. </w:t>
      </w:r>
    </w:p>
    <w:p>
      <w:pPr>
        <w:pStyle w:val="BodyTextIndent2"/>
        <w:jc w:val="both"/>
      </w:pPr>
      <w:r>
        <w:rPr>
          <w:rFonts w:ascii="" w:hAnsi="" w:cs="" w:eastAsia=""/>
          <w:b w:val="false"/>
          <w:i w:val="false"/>
          <w:strike w:val="false"/>
          <w:color w:val=""/>
          <w:sz w:val="22"/>
        </w:rPr>
        <w:t xml:space="preserve">The ROP should recognize that the need for temporary housing increases in importance as the size of the socially vulnerable population increases, especially when there is a limited amount of affordable </w:t>
      </w:r>
      <w:r>
        <w:rPr>
          <w:rFonts w:ascii="" w:hAnsi="" w:cs="" w:eastAsia=""/>
          <w:b w:val="false"/>
          <w:i w:val="false"/>
          <w:strike w:val="false"/>
          <w:color w:val=""/>
          <w:sz w:val="22"/>
        </w:rPr>
        <w:t xml:space="preserve">housing outside the impact area. The number of displaced households will be compounded by those evicted from undamaged homes because they lost their jobs and could not make rental or mortgage payments. In a major urban area </w:t>
      </w:r>
      <w:r>
        <w:rPr>
          <w:rFonts w:ascii="" w:hAnsi="" w:cs="" w:eastAsia=""/>
          <w:b w:val="false"/>
          <w:i w:val="false"/>
          <w:strike w:val="false"/>
          <w:color w:val=""/>
          <w:sz w:val="22"/>
        </w:rPr>
        <w:t>struck by a</w:t>
      </w:r>
      <w:r>
        <w:rPr>
          <w:rFonts w:ascii="" w:hAnsi="" w:cs="" w:eastAsia=""/>
          <w:b w:val="false"/>
          <w:i w:val="false"/>
          <w:strike w:val="false"/>
          <w:color w:val=""/>
          <w:sz w:val="22"/>
        </w:rPr>
        <w:t xml:space="preserve"> large scope disaster, this could be thousands of mobile homes. Where will these be located—on victims’ lots (utilities already installed, maintains neighborhood integrity, allows supervision of reconstruction) or in mobile home parks? If trailer parks are established, local officials should try to reduce social friction by locating people within kin and friendship networks to the greatest extent possible. </w:t>
      </w:r>
    </w:p>
    <w:p>
      <w:pPr>
        <w:pStyle w:val="BodyTextIndent2"/>
        <w:jc w:val="both"/>
      </w:pPr>
      <w:r>
        <w:rPr>
          <w:rFonts w:ascii="" w:hAnsi="" w:cs="" w:eastAsia=""/>
          <w:b w:val="false"/>
          <w:i w:val="true"/>
          <w:strike w:val="false"/>
          <w:color w:val=""/>
          <w:sz w:val="22"/>
        </w:rPr>
        <w:t>Temporary business operation</w:t>
      </w:r>
      <w:r>
        <w:rPr>
          <w:rFonts w:ascii="" w:hAnsi="" w:cs="" w:eastAsia=""/>
          <w:b w:val="false"/>
          <w:i w:val="false"/>
          <w:strike w:val="false"/>
          <w:color w:val=""/>
          <w:sz w:val="22"/>
        </w:rPr>
        <w:t>. Just as households need temporary housing, so too do businesses need temporary operating locations when their normal locations have been severely damaged or destroyed. Many small businesses have customers who are loyal enough to travel an extra distance, but loyalty does have its limits. Consequently, government might need to permit the establishment of temporary business operations in parking lots or other open space</w:t>
      </w:r>
      <w:r>
        <w:rPr>
          <w:rFonts w:ascii="" w:hAnsi="" w:cs="" w:eastAsia=""/>
          <w:b w:val="false"/>
          <w:i w:val="false"/>
          <w:strike w:val="false"/>
          <w:color w:val=""/>
          <w:sz w:val="22"/>
        </w:rPr>
        <w:t>s</w:t>
      </w:r>
      <w:r>
        <w:rPr>
          <w:rFonts w:ascii="" w:hAnsi="" w:cs="" w:eastAsia=""/>
          <w:b w:val="false"/>
          <w:i w:val="false"/>
          <w:strike w:val="false"/>
          <w:color w:val=""/>
          <w:sz w:val="22"/>
        </w:rPr>
        <w:t xml:space="preserve"> that </w:t>
      </w:r>
      <w:r>
        <w:rPr>
          <w:rFonts w:ascii="" w:hAnsi="" w:cs="" w:eastAsia=""/>
          <w:b w:val="false"/>
          <w:i w:val="false"/>
          <w:strike w:val="false"/>
          <w:color w:val=""/>
          <w:sz w:val="22"/>
        </w:rPr>
        <w:t>are</w:t>
      </w:r>
      <w:r>
        <w:rPr>
          <w:rFonts w:ascii="" w:hAnsi="" w:cs="" w:eastAsia=""/>
          <w:b w:val="false"/>
          <w:i w:val="false"/>
          <w:strike w:val="false"/>
          <w:color w:val=""/>
          <w:sz w:val="22"/>
        </w:rPr>
        <w:t xml:space="preserve"> close to the displaced businesses’ normal locations. The ROP should also identify sites for temporary housing and temporary business operations, which may be needed for as much as a year (and even longer in some cases).</w:t>
      </w:r>
    </w:p>
    <w:p>
      <w:pPr>
        <w:pStyle w:val="BodyTextIndent2"/>
        <w:jc w:val="both"/>
      </w:pPr>
      <w:r>
        <w:rPr>
          <w:rFonts w:ascii="" w:hAnsi="" w:cs="" w:eastAsia=""/>
          <w:b w:val="false"/>
          <w:i w:val="true"/>
          <w:strike w:val="false"/>
          <w:color w:val=""/>
          <w:sz w:val="22"/>
        </w:rPr>
        <w:t>Infrastructure restoration</w:t>
      </w:r>
      <w:r>
        <w:rPr>
          <w:rFonts w:ascii="" w:hAnsi="" w:cs="" w:eastAsia=""/>
          <w:b w:val="false"/>
          <w:i w:val="false"/>
          <w:strike w:val="false"/>
          <w:color w:val=""/>
          <w:sz w:val="22"/>
        </w:rPr>
        <w:t xml:space="preserve">. There are often many households and businesses that cannot resume normal functioning simply because of the lack of potable water, sewer, electric power, fuel, telecommunications, or transportation—not because of damage to their homes or places of business. Consequently, there is a need to inspect and repair any damage to pipelines </w:t>
      </w:r>
      <w:r>
        <w:rPr>
          <w:rFonts w:ascii="" w:hAnsi="" w:cs="" w:eastAsia=""/>
          <w:b w:val="false"/>
          <w:i w:val="false"/>
          <w:strike w:val="false"/>
          <w:color w:val=""/>
          <w:sz w:val="22"/>
        </w:rPr>
        <w:t>and</w:t>
      </w:r>
      <w:r>
        <w:rPr>
          <w:rFonts w:ascii="" w:hAnsi="" w:cs="" w:eastAsia=""/>
          <w:b w:val="false"/>
          <w:i w:val="false"/>
          <w:strike w:val="false"/>
          <w:color w:val=""/>
          <w:sz w:val="22"/>
        </w:rPr>
        <w:t xml:space="preserve"> power lines, as well as streets, bridges, street signs, and street lights. In addition to returning these households and businesses to normal functioning, restoration of infrastructure to these areas also provides places where emergency workers and construction crews can live while they are rebuilding the structures that have been damaged or destroyed. </w:t>
      </w:r>
      <w:r>
        <w:rPr>
          <w:rFonts w:ascii="" w:hAnsi="" w:cs="" w:eastAsia=""/>
          <w:b w:val="false"/>
          <w:i w:val="false"/>
          <w:strike w:val="false"/>
          <w:color w:val=""/>
          <w:sz w:val="22"/>
        </w:rPr>
        <w:t>On the other hand, g</w:t>
      </w:r>
      <w:r>
        <w:rPr>
          <w:rFonts w:ascii="" w:hAnsi="" w:cs="" w:eastAsia=""/>
          <w:b w:val="false"/>
          <w:i w:val="false"/>
          <w:strike w:val="false"/>
          <w:color w:val=""/>
          <w:sz w:val="22"/>
        </w:rPr>
        <w:t xml:space="preserve">enerating a rapid economic recovery might suggest a different set of priorities—emphasizing the restoration of infrastructure for the area’s dominant export industries. </w:t>
      </w:r>
      <w:r>
        <w:rPr>
          <w:rFonts w:ascii="" w:hAnsi="" w:cs="" w:eastAsia=""/>
          <w:b w:val="false"/>
          <w:i w:val="false"/>
          <w:strike w:val="false"/>
          <w:color w:val=""/>
          <w:sz w:val="22"/>
        </w:rPr>
        <w:t>Thus</w:t>
      </w:r>
      <w:r>
        <w:rPr>
          <w:rFonts w:ascii="" w:hAnsi="" w:cs="" w:eastAsia=""/>
          <w:b w:val="false"/>
          <w:i w:val="false"/>
          <w:strike w:val="false"/>
          <w:color w:val=""/>
          <w:sz w:val="22"/>
        </w:rPr>
        <w:t xml:space="preserve">, there are likely to be conflicting priorities and few easy decisions. </w:t>
      </w:r>
      <w:r>
        <w:rPr>
          <w:rFonts w:ascii="" w:hAnsi="" w:cs="" w:eastAsia=""/>
          <w:b w:val="false"/>
          <w:i w:val="false"/>
          <w:strike w:val="false"/>
          <w:color w:val=""/>
          <w:sz w:val="22"/>
        </w:rPr>
        <w:t>Consequently</w:t>
      </w:r>
      <w:r>
        <w:rPr>
          <w:rFonts w:ascii="" w:hAnsi="" w:cs="" w:eastAsia=""/>
          <w:b w:val="false"/>
          <w:i w:val="false"/>
          <w:strike w:val="false"/>
          <w:color w:val=""/>
          <w:sz w:val="22"/>
        </w:rPr>
        <w:t>, priorities must be established in the preimpact recovery plan</w:t>
      </w:r>
      <w:r>
        <w:rPr>
          <w:rFonts w:ascii="" w:hAnsi="" w:cs="" w:eastAsia=""/>
          <w:b w:val="false"/>
          <w:i w:val="false"/>
          <w:strike w:val="false"/>
          <w:color w:val=""/>
          <w:sz w:val="22"/>
        </w:rPr>
        <w:t xml:space="preserve"> with</w:t>
      </w:r>
      <w:r>
        <w:rPr>
          <w:rFonts w:ascii="" w:hAnsi="" w:cs="" w:eastAsia=""/>
          <w:b w:val="false"/>
          <w:i w:val="false"/>
          <w:strike w:val="false"/>
          <w:color w:val=""/>
          <w:sz w:val="22"/>
        </w:rPr>
        <w:t xml:space="preserve"> links to the damage assessment procedures that allow the recovery managers to adapt the predetermined infrastructure restoration priorities to the needs of each specific situation.</w:t>
      </w:r>
    </w:p>
    <w:p>
      <w:pPr>
        <w:pStyle w:val="BodyTextIndent2"/>
        <w:jc w:val="both"/>
      </w:pPr>
      <w:r>
        <w:rPr>
          <w:rFonts w:ascii="" w:hAnsi="" w:cs="" w:eastAsia=""/>
          <w:b w:val="false"/>
          <w:i w:val="true"/>
          <w:strike w:val="false"/>
          <w:color w:val=""/>
          <w:sz w:val="22"/>
        </w:rPr>
        <w:t>Critical facility operation</w:t>
      </w:r>
      <w:r>
        <w:rPr>
          <w:rFonts w:ascii="" w:hAnsi="" w:cs="" w:eastAsia=""/>
          <w:b w:val="false"/>
          <w:i w:val="false"/>
          <w:strike w:val="false"/>
          <w:color w:val=""/>
          <w:sz w:val="22"/>
        </w:rPr>
        <w:t>. It should be quite obvious that there will be a need to quickly repair critical facilities such as hospitals, police stations, and fire stations. However, a community’s public infrastructure is also served by other critical facilities such as water treatment plants, transit bus barns, public works equipment yards, and government offices. There is also privately operated infrastructure that includes electric power stations, television and radio facilities (both stations and broadcast towers), and telephone switching facilities. An inventory of these facilities should be available from the hazard/vulnerability analysis.</w:t>
      </w:r>
    </w:p>
    <w:p>
      <w:pPr>
        <w:pStyle w:val="BodyTextIndent2"/>
        <w:jc w:val="both"/>
      </w:pPr>
      <w:r>
        <w:rPr>
          <w:rFonts w:ascii="" w:hAnsi="" w:cs="" w:eastAsia=""/>
          <w:b w:val="false"/>
          <w:i w:val="true"/>
          <w:strike w:val="false"/>
          <w:color w:val=""/>
          <w:sz w:val="22"/>
        </w:rPr>
        <w:t>Debris management</w:t>
      </w:r>
      <w:r>
        <w:rPr>
          <w:rFonts w:ascii="" w:hAnsi="" w:cs="" w:eastAsia=""/>
          <w:b w:val="false"/>
          <w:i w:val="false"/>
          <w:strike w:val="false"/>
          <w:color w:val=""/>
          <w:sz w:val="22"/>
        </w:rPr>
        <w:t xml:space="preserve">. Most of the natural disasters, and explosions among the technological disasters, can destroy </w:t>
      </w:r>
      <w:r>
        <w:rPr>
          <w:rFonts w:ascii="" w:hAnsi="" w:cs="" w:eastAsia=""/>
          <w:b w:val="false"/>
          <w:i w:val="false"/>
          <w:strike w:val="false"/>
          <w:color w:val=""/>
          <w:sz w:val="22"/>
        </w:rPr>
        <w:t xml:space="preserve">a </w:t>
      </w:r>
      <w:r>
        <w:rPr>
          <w:rFonts w:ascii="" w:hAnsi="" w:cs="" w:eastAsia=""/>
          <w:b w:val="false"/>
          <w:i w:val="false"/>
          <w:strike w:val="false"/>
          <w:color w:val=""/>
          <w:sz w:val="22"/>
        </w:rPr>
        <w:t xml:space="preserve">substantial number of structures. In turn, this can produce an enormous amount of debris that must be removed. Debris management should designate temporary sites for sorting recyclable from nonrecyclable materials, with the latter being moved to permanent sites for disposal. Debris management is complicated in situations where evidence must be gathered in a systematic manner as in investigations of accidents (e.g., National Transportation Safety Board investigations of airline crashes or train derailments) or when the site is be considered a possible crime scene (e.g., the bombing of the Murrah Federal building Oklahoma City). In such cases, debris removal is likely to be delayed, so temporary sorting sites will be needed to separate out material evidence from useless debris. Ultimately, a catastrophic event </w:t>
      </w:r>
      <w:r>
        <w:rPr>
          <w:rFonts w:ascii="" w:hAnsi="" w:cs="" w:eastAsia=""/>
          <w:b w:val="false"/>
          <w:i w:val="false"/>
          <w:strike w:val="false"/>
          <w:color w:val=""/>
          <w:sz w:val="22"/>
        </w:rPr>
        <w:t xml:space="preserve">such as the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collapse or Hurricane Katrina can produce millions of tons of debris that can overwhelm landfill capacity.</w:t>
      </w:r>
    </w:p>
    <w:p>
      <w:pPr>
        <w:pStyle w:val="BodyTextIndent2"/>
        <w:jc w:val="both"/>
      </w:pPr>
      <w:r>
        <w:rPr>
          <w:rFonts w:ascii="" w:hAnsi="" w:cs="" w:eastAsia=""/>
          <w:b w:val="false"/>
          <w:i w:val="true"/>
          <w:strike w:val="false"/>
          <w:color w:val=""/>
          <w:sz w:val="22"/>
        </w:rPr>
        <w:t>Emergency demolition</w:t>
      </w:r>
      <w:r>
        <w:rPr>
          <w:rFonts w:ascii="" w:hAnsi="" w:cs="" w:eastAsia=""/>
          <w:b w:val="false"/>
          <w:i w:val="false"/>
          <w:strike w:val="false"/>
          <w:color w:val=""/>
          <w:sz w:val="22"/>
        </w:rPr>
        <w:t xml:space="preserve">. It is likely that some structures will be damaged severely enough to pose a threat of collapse, so procedures are needed to rapidly assess their stability and determine if they should be reinforced and rebuilt or demolished. This assessment clearly requires competent structural engineering assistance, but historic preservationists should also be consulted if the building has cultural significance (Donaldson, 1998). Indeed, historic structures should be surveyed and inventoried before disaster strikes and postimpact damage assessment procedures should be developed to avoid unnecessary demolition of damaged historic structures (Kariotis, 1998; Kimmelman, 1998). The ROP should establish policies that include criteria for emergency demolition of severely damaged structures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adequate notification for owners who might have evacuated. In addition, the implementing procedures should contain samples of the contracts to be signed with demolition companies. These contracts require the involvement of the jurisdiction’s legal counsel to </w:t>
      </w:r>
      <w:r>
        <w:rPr>
          <w:rFonts w:ascii="" w:hAnsi="" w:cs="" w:eastAsia=""/>
          <w:b w:val="false"/>
          <w:i w:val="false"/>
          <w:strike w:val="false"/>
          <w:color w:val=""/>
          <w:sz w:val="22"/>
        </w:rPr>
        <w:t>en</w:t>
      </w:r>
      <w:r>
        <w:rPr>
          <w:rFonts w:ascii="" w:hAnsi="" w:cs="" w:eastAsia=""/>
          <w:b w:val="false"/>
          <w:i w:val="false"/>
          <w:strike w:val="false"/>
          <w:color w:val=""/>
          <w:sz w:val="22"/>
        </w:rPr>
        <w:t xml:space="preserve">sure the administrative process respects personal property rights. </w:t>
      </w:r>
    </w:p>
    <w:p>
      <w:pPr>
        <w:pStyle w:val="BodyTextIndent2"/>
        <w:jc w:val="both"/>
      </w:pPr>
      <w:r>
        <w:rPr>
          <w:rFonts w:ascii="" w:hAnsi="" w:cs="" w:eastAsia=""/>
          <w:b w:val="false"/>
          <w:i w:val="true"/>
          <w:strike w:val="false"/>
          <w:color w:val=""/>
          <w:sz w:val="22"/>
        </w:rPr>
        <w:t>Repair permitting</w:t>
      </w:r>
      <w:r>
        <w:rPr>
          <w:rFonts w:ascii="" w:hAnsi="" w:cs="" w:eastAsia=""/>
          <w:b w:val="false"/>
          <w:i w:val="false"/>
          <w:strike w:val="false"/>
          <w:color w:val=""/>
          <w:sz w:val="22"/>
        </w:rPr>
        <w:t xml:space="preserve">. The ROP should contain criteria for determining which structures will be eligible for reoccupancy based upon the percent damage to the different elements of the building—foundation, wall, and roof systems, exterior walls, interior walls, floors and flooring materials, plumbing, electrical systems, HVAC systems. The large number of requests for building repair permits following a disaster can overwhelm a local code enforcement department (Schwab, et al., 1998). In preparation for this eventuality, the permit office staff should be augmented with staff from other jurisdictions and the private sector as needed. In addition, the ROP should establish an emergency permitting process that includes 10 day moratorium on minor repairs and a 30 day moratorium on permits for substantial repairs involving 50% or more of the preimpact property assessment. This allows time for the city to acquire enough staff to evaluate the properties and areas involved and establish policies for improving the building stock as needed. Of course, exemptions may be needed for reconstruction of critical facilities. The process should be streamlined as much as possible by, for example, placing permit staff in a DAC. The streamlined process should be continued for a limited time period, often 90 days after impact, that has been defined in the ROP. Local jurisdictions should consider deferring application fees during this period.  </w:t>
      </w:r>
    </w:p>
    <w:p>
      <w:pPr>
        <w:pStyle w:val="BodyTextIndent2"/>
        <w:jc w:val="both"/>
      </w:pPr>
      <w:r>
        <w:rPr>
          <w:rFonts w:ascii="" w:hAnsi="" w:cs="" w:eastAsia=""/>
          <w:b w:val="false"/>
          <w:i w:val="false"/>
          <w:strike w:val="false"/>
          <w:color w:val=""/>
          <w:sz w:val="22"/>
        </w:rPr>
        <w:t>ROPs for urban areas should anticipate the possibility of developers purchasing many damaged single family residences in the expectation of replacing them with apartment buildings. To avoid this problem, one city established a five month moratorium on applications for construction of new apartments. It also established restrictions on new buildings to ensure a Design Review Board could exclude building designs that were incompatible with the character of the neighborhoods in which they were to be constructed.</w:t>
      </w:r>
    </w:p>
    <w:p>
      <w:pPr>
        <w:pStyle w:val="BodyTextIndent2"/>
        <w:jc w:val="both"/>
      </w:pPr>
      <w:r>
        <w:rPr>
          <w:rFonts w:ascii="" w:hAnsi="" w:cs="" w:eastAsia=""/>
          <w:b w:val="false"/>
          <w:i w:val="true"/>
          <w:strike w:val="false"/>
          <w:color w:val=""/>
          <w:sz w:val="22"/>
        </w:rPr>
        <w:t>Donations management</w:t>
      </w:r>
      <w:r>
        <w:rPr>
          <w:rFonts w:ascii="" w:hAnsi="" w:cs="" w:eastAsia=""/>
          <w:b w:val="false"/>
          <w:i w:val="false"/>
          <w:strike w:val="false"/>
          <w:color w:val=""/>
          <w:sz w:val="22"/>
        </w:rPr>
        <w:t xml:space="preserve">. Major disasters frequently produce an outpouring of material (rather than financial) assistance from households and businesses outside the impact area. There is usually a substantial amount of useful material in these donations, but there also is a substantial amount of junk. Dynes (1970) and others have listed donations such as women’s formal gowns, parkas (after summer disasters in the South), outdated medicines, and other items that impede the recovery by diverting personnel to the task of sorting through the donations. Even useful items must be sorted. For example, donated clothing must be sorted by category, gender appropriateness, and size. It is common for victims to reject food donations because these items are incompatible with local tastes and to refuse specific types of temporary housing because the buildings are incompatible with local cultural preferences or climatic conditions. Another problem with donations is that an influx of useful material resources precludes the need to buy from local </w:t>
      </w:r>
      <w:r>
        <w:rPr>
          <w:rFonts w:ascii="" w:hAnsi="" w:cs="" w:eastAsia=""/>
          <w:b w:val="false"/>
          <w:i w:val="false"/>
          <w:strike w:val="false"/>
          <w:color w:val=""/>
          <w:sz w:val="22"/>
        </w:rPr>
        <w:t xml:space="preserve">businesses, thus threatening their revenues. Thus, in most cases, financial donations are preferable to material donations. Since material donations will inevitably arrive, local emergency managers need procedures to manage them. One important component of a donations management procedure is to establish a staging area outside the impact area where incoming donations can be received, sorted, and prepared for delivery to locations where they will be made available to disaster victims. </w:t>
      </w:r>
    </w:p>
    <w:p>
      <w:pPr>
        <w:pStyle w:val="BodyTextIndent2"/>
        <w:jc w:val="both"/>
      </w:pPr>
      <w:r>
        <w:rPr>
          <w:rFonts w:ascii="" w:hAnsi="" w:cs="" w:eastAsia=""/>
          <w:b w:val="false"/>
          <w:i w:val="true"/>
          <w:strike w:val="false"/>
          <w:color w:val=""/>
          <w:sz w:val="22"/>
        </w:rPr>
        <w:t>Disaster assistance</w:t>
      </w:r>
      <w:r>
        <w:rPr>
          <w:rFonts w:ascii="" w:hAnsi="" w:cs="" w:eastAsia=""/>
          <w:b w:val="false"/>
          <w:i w:val="false"/>
          <w:strike w:val="false"/>
          <w:color w:val=""/>
          <w:sz w:val="22"/>
        </w:rPr>
        <w:t>. Under normal circumstances, people rarely need to visit government agencies</w:t>
      </w:r>
      <w:r>
        <w:rPr>
          <w:rFonts w:ascii="" w:hAnsi="" w:cs="" w:eastAsia=""/>
          <w:b w:val="false"/>
          <w:i w:val="false"/>
          <w:strike w:val="false"/>
          <w:color w:val=""/>
          <w:sz w:val="22"/>
        </w:rPr>
        <w:t>. Moreover</w:t>
      </w:r>
      <w:r>
        <w:rPr>
          <w:rFonts w:ascii="" w:hAnsi="" w:cs="" w:eastAsia=""/>
          <w:b w:val="false"/>
          <w:i w:val="false"/>
          <w:strike w:val="false"/>
          <w:color w:val=""/>
          <w:sz w:val="22"/>
        </w:rPr>
        <w:t xml:space="preserve">, when they do make these visits, </w:t>
      </w:r>
      <w:r>
        <w:rPr>
          <w:rFonts w:ascii="" w:hAnsi="" w:cs="" w:eastAsia=""/>
          <w:b w:val="false"/>
          <w:i w:val="false"/>
          <w:strike w:val="false"/>
          <w:color w:val=""/>
          <w:sz w:val="22"/>
        </w:rPr>
        <w:t xml:space="preserve">they </w:t>
      </w:r>
      <w:r>
        <w:rPr>
          <w:rFonts w:ascii="" w:hAnsi="" w:cs="" w:eastAsia=""/>
          <w:b w:val="false"/>
          <w:i w:val="false"/>
          <w:strike w:val="false"/>
          <w:color w:val=""/>
          <w:sz w:val="22"/>
        </w:rPr>
        <w:t xml:space="preserve">only need to visit one agency. During disaster recovery, however, people often need to contact multiple agencies within a short period of time. Moreover, the large number of other people attempting to visit each of those agencies and the small number of staff available to process the contacts results in long lines. In some disasters, these problems have been compounded by the periodic movement of agencies field offices from one location to another during the course of the disaster recovery. Consequently, it is important for local emergency managers to provide “one-stop shopping” so victims can resolve all of their needs at a single location that is maintained throughout the </w:t>
      </w:r>
      <w:r>
        <w:rPr>
          <w:rFonts w:ascii="" w:hAnsi="" w:cs="" w:eastAsia=""/>
          <w:b w:val="false"/>
          <w:i w:val="false"/>
          <w:strike w:val="false"/>
          <w:color w:val=""/>
          <w:sz w:val="22"/>
        </w:rPr>
        <w:t>short term</w:t>
      </w:r>
      <w:r>
        <w:rPr>
          <w:rFonts w:ascii="" w:hAnsi="" w:cs="" w:eastAsia=""/>
          <w:b w:val="false"/>
          <w:i w:val="false"/>
          <w:strike w:val="false"/>
          <w:color w:val=""/>
          <w:sz w:val="22"/>
        </w:rPr>
        <w:t xml:space="preserve"> recovery period. It is also important that the location be readily accessible by public transportation and that additional staff be recruited and trained to minimize victims’ processing delays. The ROP should also designate DAC sites that are capable of housing financial aid assistance (including grants, loans, and tax deductions/deferrals), in-kind assistance (food, clothes, bedding), and legal and technical assistance. The ROP should identify primary and augmentation staff for all of these sites, including the donations management, debris sorting, debris disposal sites, and the DACs.</w:t>
      </w:r>
    </w:p>
    <w:p>
      <w:pPr>
        <w:pStyle w:val="BodyTextIndent2"/>
        <w:jc w:val="both"/>
      </w:pPr>
      <w:r>
        <w:rPr>
          <w:rFonts w:ascii="" w:hAnsi="" w:cs="" w:eastAsia=""/>
          <w:b w:val="false"/>
          <w:i w:val="true"/>
          <w:strike w:val="false"/>
          <w:color w:val=""/>
          <w:sz w:val="22"/>
        </w:rPr>
        <w:t>Long Term Reconstruction</w:t>
      </w:r>
    </w:p>
    <w:p>
      <w:pPr>
        <w:pStyle w:val=""/>
        <w:jc w:val="both"/>
      </w:pPr>
      <w:r>
        <w:rPr>
          <w:rFonts w:ascii="Times New Roman" w:hAnsi="Times New Roman" w:cs="Times New Roman" w:eastAsia="Times New Roman"/>
          <w:b w:val="false"/>
          <w:i w:val="false"/>
          <w:strike w:val="false"/>
          <w:color w:val=""/>
          <w:sz w:val="22"/>
        </w:rPr>
        <w:t>As Chapter 3 indicated, a disaster usually opens a window of opportunity for changes in environmental hazard management policy (Prater &amp; Lindell, 2000). If the Recovery/Mitigation Committee has “done its homework”, it will already have assessed the community’s hazard exposure, physical vulnerability, and social vulnerability. In addition, it will be well prepared with suggestions for ways in which to reduce future risks by integrating hazard mitigation into disaster recovery (Schwab, et al., 1998; Wu &amp; Lindell, 2004). Finally, the committee should identify sources of funding for the mitigation projects they propose.</w:t>
      </w:r>
    </w:p>
    <w:p>
      <w:pPr>
        <w:pStyle w:val="BodyTextIndent2"/>
        <w:jc w:val="both"/>
      </w:pPr>
      <w:r>
        <w:rPr>
          <w:rFonts w:ascii="" w:hAnsi="" w:cs="" w:eastAsia=""/>
          <w:b w:val="false"/>
          <w:i w:val="true"/>
          <w:strike w:val="false"/>
          <w:color w:val=""/>
          <w:sz w:val="22"/>
        </w:rPr>
        <w:t>Hazard source control and area protection</w:t>
      </w:r>
      <w:r>
        <w:rPr>
          <w:rFonts w:ascii="" w:hAnsi="" w:cs="" w:eastAsia=""/>
          <w:b w:val="false"/>
          <w:i w:val="false"/>
          <w:strike w:val="false"/>
          <w:color w:val=""/>
          <w:sz w:val="22"/>
        </w:rPr>
        <w:t xml:space="preserve">. The Recovery/Mitigation Committee should have begun to examine the prospects for hazard source control and area protection before a disaster strikes and continue this effort in the immediate aftermath. As indicated in Chapter 7, these mitigation strategies are not feasible for some hazards. The committee should anticipate induced growth in the protected area if hazard source control or area protection measures are implemented. However, linking the new source control or area protection measures to changes in the land use and building construction practices within the affected areas can avoid the expected increase in future vulnerability. </w:t>
      </w:r>
    </w:p>
    <w:p>
      <w:pPr>
        <w:pStyle w:val="BodyTextIndent2"/>
        <w:jc w:val="both"/>
      </w:pPr>
      <w:r>
        <w:rPr>
          <w:rFonts w:ascii="" w:hAnsi="" w:cs="" w:eastAsia=""/>
          <w:b w:val="false"/>
          <w:i w:val="true"/>
          <w:strike w:val="false"/>
          <w:color w:val=""/>
          <w:sz w:val="22"/>
        </w:rPr>
        <w:t>Land use practices</w:t>
      </w:r>
      <w:r>
        <w:rPr>
          <w:rFonts w:ascii="" w:hAnsi="" w:cs="" w:eastAsia=""/>
          <w:b w:val="false"/>
          <w:i w:val="false"/>
          <w:strike w:val="false"/>
          <w:color w:val=""/>
          <w:sz w:val="22"/>
        </w:rPr>
        <w:t xml:space="preserve">. Implementation of long term reconstruction planning means setting in motion any changes in land use policies that were developed during the preimpact recovery planning process. This is also an opportune time to reexamine the community’s existing land use plans and to pass new ordinances that will reduce hazard exposure. Alternative land uses can reduce the total population and property at risk, sometimes </w:t>
      </w:r>
      <w:r>
        <w:rPr>
          <w:rFonts w:ascii="" w:hAnsi="" w:cs="" w:eastAsia=""/>
          <w:b w:val="false"/>
          <w:i w:val="false"/>
          <w:strike w:val="false"/>
          <w:color w:val=""/>
          <w:sz w:val="22"/>
        </w:rPr>
        <w:t>by reducing</w:t>
      </w:r>
      <w:r>
        <w:rPr>
          <w:rFonts w:ascii="" w:hAnsi="" w:cs="" w:eastAsia=""/>
          <w:b w:val="false"/>
          <w:i w:val="false"/>
          <w:strike w:val="false"/>
          <w:color w:val=""/>
          <w:sz w:val="22"/>
        </w:rPr>
        <w:t xml:space="preserve"> develop</w:t>
      </w:r>
      <w:r>
        <w:rPr>
          <w:rFonts w:ascii="" w:hAnsi="" w:cs="" w:eastAsia=""/>
          <w:b w:val="false"/>
          <w:i w:val="false"/>
          <w:strike w:val="false"/>
          <w:color w:val=""/>
          <w:sz w:val="22"/>
        </w:rPr>
        <w:t>ment in</w:t>
      </w:r>
      <w:r>
        <w:rPr>
          <w:rFonts w:ascii="" w:hAnsi="" w:cs="" w:eastAsia=""/>
          <w:b w:val="false"/>
          <w:i w:val="false"/>
          <w:strike w:val="false"/>
          <w:color w:val=""/>
          <w:sz w:val="22"/>
        </w:rPr>
        <w:t xml:space="preserve"> high hazard areas. This can be accomplished </w:t>
      </w:r>
      <w:r>
        <w:rPr>
          <w:rFonts w:ascii="" w:hAnsi="" w:cs="" w:eastAsia=""/>
          <w:b w:val="false"/>
          <w:i w:val="false"/>
          <w:strike w:val="false"/>
          <w:color w:val=""/>
          <w:sz w:val="22"/>
        </w:rPr>
        <w:t>by</w:t>
      </w:r>
      <w:r>
        <w:rPr>
          <w:rFonts w:ascii="" w:hAnsi="" w:cs="" w:eastAsia=""/>
          <w:b w:val="false"/>
          <w:i w:val="false"/>
          <w:strike w:val="false"/>
          <w:color w:val=""/>
          <w:sz w:val="22"/>
        </w:rPr>
        <w:t xml:space="preserve"> purchas</w:t>
      </w:r>
      <w:r>
        <w:rPr>
          <w:rFonts w:ascii="" w:hAnsi="" w:cs="" w:eastAsia=""/>
          <w:b w:val="false"/>
          <w:i w:val="false"/>
          <w:strike w:val="false"/>
          <w:color w:val=""/>
          <w:sz w:val="22"/>
        </w:rPr>
        <w:t>ing</w:t>
      </w:r>
      <w:r>
        <w:rPr>
          <w:rFonts w:ascii="" w:hAnsi="" w:cs="" w:eastAsia=""/>
          <w:b w:val="false"/>
          <w:i w:val="false"/>
          <w:strike w:val="false"/>
          <w:color w:val=""/>
          <w:sz w:val="22"/>
        </w:rPr>
        <w:t xml:space="preserve"> private property, purchas</w:t>
      </w:r>
      <w:r>
        <w:rPr>
          <w:rFonts w:ascii="" w:hAnsi="" w:cs="" w:eastAsia=""/>
          <w:b w:val="false"/>
          <w:i w:val="false"/>
          <w:strike w:val="false"/>
          <w:color w:val=""/>
          <w:sz w:val="22"/>
        </w:rPr>
        <w:t>ing</w:t>
      </w:r>
      <w:r>
        <w:rPr>
          <w:rFonts w:ascii="" w:hAnsi="" w:cs="" w:eastAsia=""/>
          <w:b w:val="false"/>
          <w:i w:val="false"/>
          <w:strike w:val="false"/>
          <w:color w:val=""/>
          <w:sz w:val="22"/>
        </w:rPr>
        <w:t xml:space="preserve"> development rights, relocati</w:t>
      </w:r>
      <w:r>
        <w:rPr>
          <w:rFonts w:ascii="" w:hAnsi="" w:cs="" w:eastAsia=""/>
          <w:b w:val="false"/>
          <w:i w:val="false"/>
          <w:strike w:val="false"/>
          <w:color w:val=""/>
          <w:sz w:val="22"/>
        </w:rPr>
        <w:t>ng</w:t>
      </w:r>
      <w:r>
        <w:rPr>
          <w:rFonts w:ascii="" w:hAnsi="" w:cs="" w:eastAsia=""/>
          <w:b w:val="false"/>
          <w:i w:val="false"/>
          <w:strike w:val="false"/>
          <w:color w:val=""/>
          <w:sz w:val="22"/>
        </w:rPr>
        <w:t xml:space="preserve"> public facilities and other infrastructure away from hazardous areas, and redirecti</w:t>
      </w:r>
      <w:r>
        <w:rPr>
          <w:rFonts w:ascii="" w:hAnsi="" w:cs="" w:eastAsia=""/>
          <w:b w:val="false"/>
          <w:i w:val="false"/>
          <w:strike w:val="false"/>
          <w:color w:val=""/>
          <w:sz w:val="22"/>
        </w:rPr>
        <w:t>ng</w:t>
      </w:r>
      <w:r>
        <w:rPr>
          <w:rFonts w:ascii="" w:hAnsi="" w:cs="" w:eastAsia=""/>
          <w:b w:val="false"/>
          <w:i w:val="false"/>
          <w:strike w:val="false"/>
          <w:color w:val=""/>
          <w:sz w:val="22"/>
        </w:rPr>
        <w:t xml:space="preserve"> new capital improvements away from hazardous areas. Road width and access regulations might also need to be established or revised at this stage. </w:t>
      </w:r>
      <w:r>
        <w:rPr>
          <w:rFonts w:ascii="" w:hAnsi="" w:cs="" w:eastAsia=""/>
          <w:b w:val="false"/>
          <w:i w:val="false"/>
          <w:strike w:val="false"/>
          <w:color w:val=""/>
          <w:sz w:val="22"/>
        </w:rPr>
        <w:t>Lot</w:t>
      </w:r>
      <w:r>
        <w:rPr>
          <w:rFonts w:ascii="" w:hAnsi="" w:cs="" w:eastAsia=""/>
          <w:b w:val="false"/>
          <w:i w:val="false"/>
          <w:strike w:val="false"/>
          <w:color w:val=""/>
          <w:sz w:val="22"/>
        </w:rPr>
        <w:t xml:space="preserve"> restrictions can be used to reduce population densities by downzoning and setbacks can be used to maximize distances from hazards. </w:t>
      </w:r>
      <w:r>
        <w:rPr>
          <w:rFonts w:ascii="" w:hAnsi="" w:cs="" w:eastAsia=""/>
          <w:b w:val="false"/>
          <w:i w:val="false"/>
          <w:strike w:val="false"/>
          <w:color w:val=""/>
          <w:sz w:val="22"/>
        </w:rPr>
        <w:t xml:space="preserve">Landscaping and vegetation requirements can be established to reduce </w:t>
      </w:r>
      <w:r>
        <w:rPr>
          <w:rFonts w:ascii="" w:hAnsi="" w:cs="" w:eastAsia=""/>
          <w:b w:val="false"/>
          <w:i w:val="false"/>
          <w:strike w:val="false"/>
          <w:color w:val=""/>
          <w:sz w:val="22"/>
        </w:rPr>
        <w:t xml:space="preserve">the </w:t>
      </w:r>
      <w:r>
        <w:rPr>
          <w:rFonts w:ascii="" w:hAnsi="" w:cs="" w:eastAsia=""/>
          <w:b w:val="false"/>
          <w:i w:val="false"/>
          <w:strike w:val="false"/>
          <w:color w:val=""/>
          <w:sz w:val="22"/>
        </w:rPr>
        <w:t xml:space="preserve">potential for flooding, landslides, or fires. Moreover, as discussed in Chapter 7, the ROP should provide guidance on the reconstruction of </w:t>
      </w:r>
      <w:r>
        <w:rPr>
          <w:rFonts w:ascii="" w:hAnsi="" w:cs="" w:eastAsia=""/>
          <w:b w:val="false"/>
          <w:i w:val="true"/>
          <w:strike w:val="false"/>
          <w:color w:val=""/>
          <w:sz w:val="22"/>
        </w:rPr>
        <w:t>nonconforming uses</w:t>
      </w:r>
      <w:r>
        <w:rPr>
          <w:rFonts w:ascii="" w:hAnsi="" w:cs="" w:eastAsia=""/>
          <w:b w:val="false"/>
          <w:i w:val="false"/>
          <w:strike w:val="false"/>
          <w:color w:val=""/>
          <w:sz w:val="22"/>
        </w:rPr>
        <w:t>, which are structures that do not meet the zoning requirements for their geographic areas. Usually these are older structures whose construction preceded the establishment of the current zoning requirements and, thus, are “grandfathered”.</w:t>
      </w:r>
    </w:p>
    <w:p>
      <w:pPr>
        <w:pStyle w:val="BodyTextIndent2"/>
        <w:jc w:val="both"/>
      </w:pPr>
      <w:r>
        <w:rPr>
          <w:rFonts w:ascii="" w:hAnsi="" w:cs="" w:eastAsia=""/>
          <w:b w:val="false"/>
          <w:i w:val="true"/>
          <w:strike w:val="false"/>
          <w:color w:val=""/>
          <w:sz w:val="22"/>
        </w:rPr>
        <w:t>Building construction practices</w:t>
      </w:r>
      <w:r>
        <w:rPr>
          <w:rFonts w:ascii="" w:hAnsi="" w:cs="" w:eastAsia=""/>
          <w:b w:val="false"/>
          <w:i w:val="false"/>
          <w:strike w:val="false"/>
          <w:color w:val=""/>
          <w:sz w:val="22"/>
        </w:rPr>
        <w:t xml:space="preserve">. The ROP should also address the implementation of new mitigation requirements such as elevating structures located in floodplains. Other building codes can also reduce the physical impact of a disaster on structures located in risk areas. These include increasing disaster resistance of the building structure and increasing the resistance of “soft spots” in the structure. In addition to addressing new code requirements, the ROP should also address the building construction process. </w:t>
      </w:r>
      <w:r>
        <w:rPr>
          <w:rFonts w:ascii="" w:hAnsi="" w:cs="" w:eastAsia=""/>
          <w:b w:val="false"/>
          <w:i w:val="false"/>
          <w:strike w:val="false"/>
          <w:color w:val=""/>
          <w:sz w:val="22"/>
        </w:rPr>
        <w:t>In particular, v</w:t>
      </w:r>
      <w:r>
        <w:rPr>
          <w:rFonts w:ascii="" w:hAnsi="" w:cs="" w:eastAsia=""/>
          <w:b w:val="false"/>
          <w:i w:val="false"/>
          <w:strike w:val="false"/>
          <w:color w:val=""/>
          <w:sz w:val="22"/>
        </w:rPr>
        <w:t>irtually every disaster produces complaints about out of area building contractors</w:t>
      </w:r>
      <w:r>
        <w:rPr>
          <w:rFonts w:ascii="" w:hAnsi="" w:cs="" w:eastAsia=""/>
          <w:b w:val="false"/>
          <w:i w:val="false"/>
          <w:strike w:val="false"/>
          <w:color w:val=""/>
          <w:sz w:val="22"/>
        </w:rPr>
        <w:t xml:space="preserve"> who receive advance payment for </w:t>
      </w:r>
      <w:r>
        <w:rPr>
          <w:rFonts w:ascii="" w:hAnsi="" w:cs="" w:eastAsia=""/>
          <w:b w:val="false"/>
          <w:i w:val="false"/>
          <w:strike w:val="false"/>
          <w:color w:val=""/>
          <w:sz w:val="22"/>
        </w:rPr>
        <w:t>work that never performed. Thus, the ROP should address the need to monitor them—especially by registering out-of-area contractors and providing contract advice to owners of damaged property. Care should be taken to ensure regulation of outside contractors and construction workers does not impede the ability of NGOs such as Habitat for Humanity to use volunteer labor from out of the area to assist in the reconstruction effort.</w:t>
      </w:r>
      <w:r>
        <w:rPr>
          <w:rFonts w:ascii="" w:hAnsi="" w:cs="" w:eastAsia=""/>
          <w:b w:val="false"/>
          <w:i w:val="false"/>
          <w:strike w:val="false"/>
          <w:color w:val=""/>
          <w:sz w:val="22"/>
        </w:rPr>
        <w:t xml:space="preserve"> The ROP</w:t>
      </w:r>
      <w:r>
        <w:rPr>
          <w:rFonts w:ascii="" w:hAnsi="" w:cs="" w:eastAsia=""/>
          <w:b w:val="false"/>
          <w:i w:val="false"/>
          <w:strike w:val="false"/>
          <w:color w:val=""/>
          <w:sz w:val="22"/>
        </w:rPr>
        <w:t xml:space="preserve"> need</w:t>
      </w:r>
      <w:r>
        <w:rPr>
          <w:rFonts w:ascii="" w:hAnsi="" w:cs="" w:eastAsia=""/>
          <w:b w:val="false"/>
          <w:i w:val="false"/>
          <w:strike w:val="false"/>
          <w:color w:val=""/>
          <w:sz w:val="22"/>
        </w:rPr>
        <w:t>s</w:t>
      </w:r>
      <w:r>
        <w:rPr>
          <w:rFonts w:ascii="" w:hAnsi="" w:cs="" w:eastAsia=""/>
          <w:b w:val="false"/>
          <w:i w:val="false"/>
          <w:strike w:val="false"/>
          <w:color w:val=""/>
          <w:sz w:val="22"/>
        </w:rPr>
        <w:t xml:space="preserve"> to balance the legitimate interests of local contractors against the needs of the community for rapid provision of affordable housing for low income residents (Peacock &amp; Ragsdale, 1997).</w:t>
      </w:r>
    </w:p>
    <w:p>
      <w:pPr>
        <w:pStyle w:val="BodyTextIndent2"/>
        <w:jc w:val="both"/>
      </w:pPr>
      <w:r>
        <w:rPr>
          <w:rFonts w:ascii="" w:hAnsi="" w:cs="" w:eastAsia=""/>
          <w:b w:val="false"/>
          <w:i w:val="true"/>
          <w:strike w:val="false"/>
          <w:color w:val=""/>
          <w:sz w:val="22"/>
        </w:rPr>
        <w:t>Public health/mental health recovery</w:t>
      </w:r>
      <w:r>
        <w:rPr>
          <w:rFonts w:ascii="" w:hAnsi="" w:cs="" w:eastAsia=""/>
          <w:b w:val="false"/>
          <w:i w:val="false"/>
          <w:strike w:val="false"/>
          <w:color w:val=""/>
          <w:sz w:val="22"/>
        </w:rPr>
        <w:t xml:space="preserve">. Most natural disasters in the </w:t>
      </w:r>
      <w:r>
        <w:rPr>
          <w:rFonts w:ascii="" w:hAnsi="" w:cs="" w:eastAsia=""/>
          <w:b w:val="false"/>
          <w:i w:val="false"/>
          <w:strike w:val="false"/>
          <w:color w:val=""/>
          <w:sz w:val="22"/>
        </w:rPr>
        <w:t>US</w:t>
      </w:r>
      <w:r>
        <w:rPr>
          <w:rFonts w:ascii="" w:hAnsi="" w:cs="" w:eastAsia=""/>
          <w:b w:val="false"/>
          <w:i w:val="false"/>
          <w:strike w:val="false"/>
          <w:color w:val=""/>
          <w:sz w:val="22"/>
        </w:rPr>
        <w:t xml:space="preserve"> have had minimal public health consequences because the country has few endemic diseases whose incidence is likely to increase after a disaster. Contrary to many people’s beliefs, dead bodies are a public health threat only if those who died had communicable diseases when they were alive. Death itself does not spontaneously generate disease. Waterborne illnesses are a problem if survivors drink from, wash food in, or bathe in water sources that have been contaminated by raw sewage or chemical spills. Of course, such exposures can be avoided by having survivors use bottled water or by evacuating the impact area until infrastructure has been restored. Disease vectors other than ingestion must also be controlled in areas where pests harbor diseases. For example, mosquito control has become increasingly important as mosquito transmitted diseases, such as </w:t>
      </w:r>
      <w:r>
        <w:rPr>
          <w:rFonts w:ascii="" w:hAnsi="" w:cs="" w:eastAsia=""/>
          <w:b w:val="false"/>
          <w:i w:val="false"/>
          <w:strike w:val="false"/>
          <w:color w:val=""/>
          <w:sz w:val="22"/>
        </w:rPr>
        <w:t>West Nile</w:t>
      </w:r>
      <w:r>
        <w:rPr>
          <w:rFonts w:ascii="" w:hAnsi="" w:cs="" w:eastAsia=""/>
          <w:b w:val="false"/>
          <w:i w:val="false"/>
          <w:strike w:val="false"/>
          <w:color w:val=""/>
          <w:sz w:val="22"/>
        </w:rPr>
        <w:t xml:space="preserve"> virus, have become increasingly prevalent.</w:t>
      </w:r>
    </w:p>
    <w:p>
      <w:pPr>
        <w:pStyle w:val=""/>
        <w:jc w:val="both"/>
      </w:pPr>
      <w:r>
        <w:rPr>
          <w:rFonts w:ascii="Times New Roman" w:hAnsi="Times New Roman" w:cs="Times New Roman" w:eastAsia="Times New Roman"/>
          <w:b w:val="false"/>
          <w:i w:val="false"/>
          <w:strike w:val="false"/>
          <w:color w:val=""/>
          <w:sz w:val="22"/>
        </w:rPr>
        <w:t>Similarly, natural disasters produce minimal mental health consequences. Clinical psychologists found nearly 20 years ago that few victims use formal psychological services in the aftermath of disaster (Gist &amp; Stolz, 1982). Since that time, an extensive research has confirmed that finding (Salzer &amp; Bickman, 1999). This has led many psychologists examine the typical problems victims face and, in so doing, found that the two most prominent are material resource loss (Freedy, et al., 1992) and disruption of social networks (Kaniasty &amp; Norris, 1995). The first of these problems, material resource loss, is addressed by the programs for housing and economic recovery. However, mental health professionals can facilitate the recovery process by acting as victim advocates, especially for victims who are unaccustomed to working with white collar bureaucracies (Salzer &amp; Bickman, 1999). Other recommendations include designing community interventions to provide social support by establishing victim locator systems, facilitating self-help groups, and community organizing (Salzer &amp; Bickman, 1999)</w:t>
      </w:r>
    </w:p>
    <w:p>
      <w:pPr>
        <w:pStyle w:val="BodyTextIndent2"/>
        <w:jc w:val="both"/>
      </w:pPr>
      <w:r>
        <w:rPr>
          <w:rFonts w:ascii="" w:hAnsi="" w:cs="" w:eastAsia=""/>
          <w:b w:val="false"/>
          <w:i w:val="false"/>
          <w:strike w:val="false"/>
          <w:color w:val=""/>
          <w:sz w:val="22"/>
        </w:rPr>
        <w:t xml:space="preserve">Nonetheless, others have concluded that the failure to seek formal psychological counseling is a potential threat to the mental health of victims and even first responders. In connection with the latter, Mitchell (1983) developed a system called the </w:t>
      </w:r>
      <w:r>
        <w:rPr>
          <w:rFonts w:ascii="" w:hAnsi="" w:cs="" w:eastAsia=""/>
          <w:b w:val="false"/>
          <w:i w:val="true"/>
          <w:strike w:val="false"/>
          <w:color w:val=""/>
          <w:sz w:val="22"/>
        </w:rPr>
        <w:t>Critical Incident Stress Debriefing</w:t>
      </w:r>
      <w:r>
        <w:rPr>
          <w:rFonts w:ascii="" w:hAnsi="" w:cs="" w:eastAsia=""/>
          <w:b w:val="false"/>
          <w:i w:val="false"/>
          <w:strike w:val="false"/>
          <w:color w:val=""/>
          <w:sz w:val="22"/>
        </w:rPr>
        <w:t xml:space="preserve">, which involves preincident training, individual crisis support, demobilization (e.g., informational debriefings as personnel </w:t>
      </w:r>
      <w:r>
        <w:rPr>
          <w:rFonts w:ascii="" w:hAnsi="" w:cs="" w:eastAsia=""/>
          <w:b w:val="false"/>
          <w:i w:val="false"/>
          <w:strike w:val="false"/>
          <w:color w:val=""/>
          <w:sz w:val="22"/>
        </w:rPr>
        <w:t>rotate off duty), defusing (small group discussions about the emotional significance of the event), family support, and referral to other support services (e.g., psychiatric, psychologic</w:t>
      </w:r>
      <w:r>
        <w:rPr>
          <w:rFonts w:ascii="" w:hAnsi="" w:cs="" w:eastAsia=""/>
          <w:b w:val="false"/>
          <w:i w:val="false"/>
          <w:strike w:val="false"/>
          <w:color w:val=""/>
          <w:sz w:val="22"/>
        </w:rPr>
        <w:t>al, legal, career). Despite its</w:t>
      </w:r>
      <w:r>
        <w:rPr>
          <w:rFonts w:ascii="" w:hAnsi="" w:cs="" w:eastAsia=""/>
          <w:b w:val="false"/>
          <w:i w:val="false"/>
          <w:strike w:val="false"/>
          <w:color w:val=""/>
          <w:sz w:val="22"/>
        </w:rPr>
        <w:t xml:space="preserve"> proponents claims of empirical support for this method, the most rigorous scientific evaluations have found no evidence of its effectiveness (McNally, Bryant &amp; Ehlers, 2003). One problem seems to be that establishing a rigid schedule for victims to discuss traumatic events disrupts their ability to control the alternation between psychological phases of active processing and avoidance (Pennebaker &amp; Harber, 1993). A related problem is the requirement for group discussion with their professional peers shortly after the event (usually within 12 hours). In the case of emergency responders, this conflicts with their preference for seeking support from spouses and others outside the workplace (Gist, et al., 1999). Thus, there appears to be no scientific justification to plan for anything other than routine referrals for psychological distress.</w:t>
      </w:r>
    </w:p>
    <w:p>
      <w:pPr>
        <w:pStyle w:val=""/>
        <w:jc w:val="both"/>
      </w:pPr>
      <w:r>
        <w:rPr>
          <w:rFonts w:ascii="Times New Roman" w:hAnsi="Times New Roman" w:cs="Times New Roman" w:eastAsia="Times New Roman"/>
          <w:b w:val="false"/>
          <w:i w:val="true"/>
          <w:strike w:val="false"/>
          <w:color w:val=""/>
          <w:sz w:val="22"/>
        </w:rPr>
        <w:t>Economic development</w:t>
      </w:r>
      <w:r>
        <w:rPr>
          <w:rFonts w:ascii="Times New Roman" w:hAnsi="Times New Roman" w:cs="Times New Roman" w:eastAsia="Times New Roman"/>
          <w:b w:val="false"/>
          <w:i w:val="false"/>
          <w:strike w:val="false"/>
          <w:color w:val=""/>
          <w:sz w:val="22"/>
        </w:rPr>
        <w:t>. The ROP should provide guidance on the economic development of the disaster stricken areas. The basic strategy for redevelopment should have been planned during the process of envisioning the community recovery strategy. Thus, this is the time at which the strategy is implemented. In communities that are highly dependent on tourism, active promotion is needed to assure prospective visitors that all facilities are back in operation.</w:t>
      </w:r>
    </w:p>
    <w:p>
      <w:pPr>
        <w:pStyle w:val="BodyTextIndent2"/>
        <w:jc w:val="both"/>
      </w:pPr>
      <w:r>
        <w:rPr>
          <w:rFonts w:ascii="" w:hAnsi="" w:cs="" w:eastAsia=""/>
          <w:b w:val="false"/>
          <w:i w:val="true"/>
          <w:strike w:val="false"/>
          <w:color w:val=""/>
          <w:sz w:val="22"/>
        </w:rPr>
        <w:t>Infrastructure resilience</w:t>
      </w:r>
      <w:r>
        <w:rPr>
          <w:rFonts w:ascii="" w:hAnsi="" w:cs="" w:eastAsia=""/>
          <w:b w:val="false"/>
          <w:i w:val="false"/>
          <w:strike w:val="false"/>
          <w:color w:val=""/>
          <w:sz w:val="22"/>
        </w:rPr>
        <w:t>. One opportunity that is likely to arise during disaster recovery is an opportunity to decrease the physical vulnerability of community infrastructure. In most cases, roads and bridges can be strengthened. Similarly, aboveground lines can be undergrounded to reduce their vulnerability to wind and ice. In some cases, pipelines for water, sewer, and fuel and major transmission lines for electric power and telephone can be rerouted to reduce vulnerability. However, most of these lifelines must pass through high hazard exposure areas at some point. For example, all lifelines must cross seismic faults to serve customers on the other side. All of these lifelines are critical to a community’s disaster resilience, so preimpact planning or postimpact improvisation should provide for rerouting and strengthening infrastructure to decrease its vulnerability to future disasters.</w:t>
      </w:r>
    </w:p>
    <w:p>
      <w:pPr>
        <w:pStyle w:val="BodyTextIndent2"/>
        <w:jc w:val="both"/>
      </w:pPr>
      <w:r>
        <w:rPr>
          <w:rFonts w:ascii="" w:hAnsi="" w:cs="" w:eastAsia=""/>
          <w:b w:val="false"/>
          <w:i w:val="true"/>
          <w:strike w:val="false"/>
          <w:color w:val=""/>
          <w:sz w:val="22"/>
        </w:rPr>
        <w:t>Historic preservation</w:t>
      </w:r>
      <w:r>
        <w:rPr>
          <w:rFonts w:ascii="" w:hAnsi="" w:cs="" w:eastAsia=""/>
          <w:b w:val="false"/>
          <w:i w:val="false"/>
          <w:strike w:val="false"/>
          <w:color w:val=""/>
          <w:sz w:val="22"/>
        </w:rPr>
        <w:t>. The disaster recovery period is an opportune time to examine the physical vulnerability of undamaged historic structures to determine how to protect them from future disasters (Cliver, 1998). The federal government has funds, as do many states, for the preservation of historic buildings. However, the affected community must initiate the process by recognizing the value of these structures and investing time and money into their preservation (Alfaro, 1998).</w:t>
      </w:r>
    </w:p>
    <w:p>
      <w:pPr>
        <w:pStyle w:val="BodyTextIndent2"/>
        <w:jc w:val="both"/>
      </w:pPr>
      <w:r>
        <w:rPr>
          <w:rFonts w:ascii="" w:hAnsi="" w:cs="" w:eastAsia=""/>
          <w:b w:val="false"/>
          <w:i w:val="true"/>
          <w:strike w:val="false"/>
          <w:color w:val=""/>
          <w:sz w:val="22"/>
        </w:rPr>
        <w:t>Environmental remediation</w:t>
      </w:r>
      <w:r>
        <w:rPr>
          <w:rFonts w:ascii="" w:hAnsi="" w:cs="" w:eastAsia=""/>
          <w:b w:val="false"/>
          <w:i w:val="false"/>
          <w:strike w:val="false"/>
          <w:color w:val=""/>
          <w:sz w:val="22"/>
        </w:rPr>
        <w:t>. Hazmat spills are an increasing problem during natural disasters and the process of cleaning up oil and chemical spills could take months (Lindell &amp; Perry, 1997b; Showalter &amp; Myers, 1994). In most cases, such work will be performed by specialized contractors hired by state or federal government. However, such efforts should be coordinated with local personnel from the department of public health, land use planning, or fire/hazmat response.</w:t>
      </w:r>
    </w:p>
    <w:p>
      <w:pPr>
        <w:pStyle w:val="BodyTextIndent2"/>
        <w:jc w:val="both"/>
      </w:pPr>
      <w:r>
        <w:rPr>
          <w:rFonts w:ascii="" w:hAnsi="" w:cs="" w:eastAsia=""/>
          <w:b w:val="false"/>
          <w:i w:val="true"/>
          <w:strike w:val="false"/>
          <w:color w:val=""/>
          <w:sz w:val="22"/>
        </w:rPr>
        <w:t>Disaster memorialization</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2018-05-09T20:20:05Z</dcterms:created>
  <dc:creator>Apache POI</dc:creator>
</cp:coreProperties>
</file>