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crayons . . . and then to either sit on the floor or sit on a little chair or stool like I do now . . . and to ask them what they would like to play with.  As they </w:t>
      </w:r>
      <w:r>
        <w:rPr>
          <w:rFonts w:ascii="" w:hAnsi="" w:cs="" w:eastAsia=""/>
          <w:b w:val="false"/>
          <w:i w:val="false"/>
          <w:strike w:val="false"/>
          <w:color w:val=""/>
        </w:rPr>
        <w:t>are playing find out -- for example, one of my favorite ways of doing it is to pretend.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(A</w:t>
      </w:r>
      <w:r>
        <w:rPr>
          <w:rFonts w:ascii="" w:hAnsi="" w:cs="" w:eastAsia=""/>
          <w:b w:val="false"/>
          <w:i w:val="false"/>
          <w:strike w:val="false"/>
          <w:color w:val=""/>
        </w:rPr>
        <w:t>336).  Similarly, in his report, the psychiatrist stated: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Though we could, and at times did, raise direct questions with Marie-Eline, we were aware that an interview limited to questions and answers could easily go beyond Francois's and Marie-Eline's </w:t>
      </w:r>
      <w:r>
        <w:rPr>
          <w:rFonts w:ascii="" w:hAnsi="" w:cs="" w:eastAsia=""/>
          <w:b w:val="false"/>
          <w:i w:val="false"/>
          <w:strike w:val="false"/>
          <w:color w:val=""/>
        </w:rPr>
        <w:t>expe</w:t>
      </w:r>
      <w:r>
        <w:rPr>
          <w:rFonts w:ascii="" w:hAnsi="" w:cs="" w:eastAsia=""/>
          <w:b w:val="false"/>
          <w:i w:val="false"/>
          <w:strike w:val="false"/>
          <w:color w:val=""/>
        </w:rPr>
        <w:t>cted,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age-appropriate cognitive capacity.  Furthermore, from our clinical experiences, and from published literature, we were aware that direct questions from friendly strangers can be experienced by young children as a test for which the interviewer has 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correct answer in mind.  The child then tries to please the adult interviewer by providing the "correct" answer . . . 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(A121-22).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In sum, her own expert testified that Marie-Eline is not old enough to testify under oath, or even in a question-and-answe</w:t>
      </w:r>
      <w:r>
        <w:rPr>
          <w:rFonts w:ascii="" w:hAnsi="" w:cs="" w:eastAsia=""/>
          <w:b w:val="false"/>
          <w:i w:val="false"/>
          <w:strike w:val="false"/>
          <w:color w:val=""/>
        </w:rPr>
        <w:t>r format.  A fortiori, the child could not be viewed as having a “sufficient age and maturity” under the Convention.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 addition, in weighing the testimony of a younger child, a court should consider carefully whether it reflects the child’s views, or an 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ttenuated version of the abducting parent’s.  </w:t>
      </w:r>
      <w:r>
        <w:rPr>
          <w:rFonts w:ascii="" w:hAnsi="" w:cs="" w:eastAsia=""/>
          <w:b w:val="false"/>
          <w:i w:val="false"/>
          <w:strike w:val="false"/>
          <w:color w:val=""/>
        </w:rPr>
        <w:t>51 Fed.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Reg. at 10,510.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Applying this standard, courts have found that children aged nine and ten have been sufficiently influenced by their abductors that their views on return should not be taken into accoun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t.  </w:t>
      </w:r>
      <w:r>
        <w:rPr>
          <w:rFonts w:ascii="" w:hAnsi="" w:cs="" w:eastAsia=""/>
          <w:b w:val="false"/>
          <w:i w:val="false"/>
          <w:strike w:val="false"/>
          <w:color w:val=""/>
        </w:rPr>
        <w:t>See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Sheikh v. Cahill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546 N.Y.S.2d 517, 521-22 (Sup.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Ct. Kings County 1989); </w:t>
      </w:r>
      <w:r>
        <w:rPr>
          <w:rFonts w:ascii="" w:hAnsi="" w:cs="" w:eastAsia=""/>
          <w:b w:val="false"/>
          <w:i w:val="false"/>
          <w:strike w:val="false"/>
          <w:color w:val=""/>
        </w:rPr>
        <w:t>In re Robinson</w:t>
      </w:r>
      <w:r>
        <w:rPr>
          <w:rFonts w:ascii="" w:hAnsi="" w:cs="" w:eastAsia=""/>
          <w:b w:val="false"/>
          <w:i w:val="false"/>
          <w:strike w:val="false"/>
          <w:color w:val=""/>
        </w:rPr>
        <w:t>, 983 F. Supp. 1339, 1343-44 (D. Colo. 1997).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August 1998, the district court concluded that Marie-Eline, then seven, had been “prepared, to a degree,” for 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conversation with the court concerning her views on return.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Blondin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>, 19 F. Supp. 2d at 128.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Moreover, in December 1999, the psychiatrist readily admitted that some of Marie-Eline’s “spontaneous” expressions of abuse, such as a fear of her father stran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gling her, or living in a shelter, could have come only from descriptions of abuse given to her by her mother, since such incidents occurred when Marie-Eline was too young to remember them.  </w:t>
      </w:r>
      <w:r>
        <w:rPr>
          <w:rFonts w:ascii="" w:hAnsi="" w:cs="" w:eastAsia=""/>
          <w:b w:val="false"/>
          <w:i w:val="false"/>
          <w:strike w:val="false"/>
          <w:color w:val=""/>
        </w:rPr>
        <w:t>(A348-50).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Notwithstanding this testimony, the district court su</w:t>
      </w:r>
      <w:r>
        <w:rPr>
          <w:rFonts w:ascii="" w:hAnsi="" w:cs="" w:eastAsia=""/>
          <w:b w:val="false"/>
          <w:i w:val="false"/>
          <w:strike w:val="false"/>
          <w:color w:val=""/>
        </w:rPr>
        <w:t>mmarily concluded that it did not believe Marie-Eline's statements were influenced by her mother.  Given the circumstances, it is extremely unlikely that Marie-Eline's views could have been sufficiently free of her abducting parent’s influence to amount to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 objection properly cognizable under the Convention.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We do not suggest that the testimony of a younger child cannot be considered as evidence that abuse has occurred or that return to the immediate custody of an abusive parent would pose a grave risk 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harm.  That is different, however, from giving effect to a carefully considered “objection” by an older child to returning to her former country of residence, based on her independent and mature assessment of her own interests.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CONCLUSION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true"/>
          <w:i w:val="false"/>
          <w:strike w:val="false"/>
          <w:color w:val=""/>
        </w:rPr>
        <w:t>he judgment of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the district court should be reversed.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Dated: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York, 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May 8, 2000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Respectfully submitted,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MARY JO WHITE,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United States Attorney for the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Southern District of New York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Attorney 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Amicus Curiae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United States of America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WENDY H. SCHWARTZ,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G</w:t>
      </w:r>
      <w:r>
        <w:rPr>
          <w:rFonts w:ascii="" w:hAnsi="" w:cs="" w:eastAsia=""/>
          <w:b w:val="false"/>
          <w:i w:val="false"/>
          <w:strike w:val="false"/>
          <w:color w:val=""/>
        </w:rPr>
        <w:t>IDEON A. SCHOR,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Assistant United States Attorneys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Of Counsel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>Certificate of Compliance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Pursuant to Rules 29(c), (d), and 32(a)(7)(C) of the Federal Rules of Appellate Procedure, the undersigned counsel for the United States hereby certifies t</w:t>
      </w:r>
      <w:r>
        <w:rPr>
          <w:rFonts w:ascii="" w:hAnsi="" w:cs="" w:eastAsia=""/>
          <w:b w:val="false"/>
          <w:i w:val="false"/>
          <w:strike w:val="false"/>
          <w:color w:val=""/>
        </w:rPr>
        <w:t>hat this brief complies with the type-volume limitation of Rule 32(a)(7)(B).  As measured by the word processing system used to prepare this brief, there are 6964 words in the brief.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MARY JO WHITE,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United States Attorney for the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Southern District o</w:t>
      </w:r>
      <w:r>
        <w:rPr>
          <w:rFonts w:ascii="" w:hAnsi="" w:cs="" w:eastAsia=""/>
          <w:b w:val="false"/>
          <w:i w:val="false"/>
          <w:strike w:val="false"/>
          <w:color w:val=""/>
        </w:rPr>
        <w:t>f New York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By:</w:t>
      </w:r>
      <w:r>
        <w:rPr>
          <w:rFonts w:ascii="" w:hAnsi="" w:cs="" w:eastAsia=""/>
          <w:b w:val="false"/>
          <w:i w:val="false"/>
          <w:strike w:val="false"/>
          <w:color w:val=""/>
        </w:rPr>
        <w:t>WENDY H. SCHWARTZ,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Assistant United States Attorney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2018-05-14T17:51:09Z</dcterms:created>
  <dc:creator>Apache POI</dc:creator>
</cp:coreProperties>
</file>