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Notwithstanding this testimony, the district court su</w:t>
      </w:r>
      <w:r>
        <w:rPr>
          <w:rFonts w:ascii="" w:hAnsi="" w:cs="" w:eastAsia=""/>
          <w:b w:val="false"/>
          <w:i w:val="false"/>
          <w:strike w:val="false"/>
          <w:color w:val=""/>
        </w:rPr>
        <w:t>mmarily concluded that it did not believe Marie-Eline's statements were influenced by her mother.  Given the circumstances, it is extremely unlikely that Marie-Eline's views could have been sufficiently free of her abducting parent’s influence to amount to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 objection properly cognizable under the Convention.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 do not suggest that the testimony of a younger child cannot be considered as evidence that abuse has occurred or that return to the immediate custody of an abusive parent would pose a grave risk 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harm.  That is different, however, from giving effect to a carefully considered “objection” by an older child to returning to her former country of residence, based on her independent and mature assessment of her own interests.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CONCLUSION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true"/>
          <w:i w:val="false"/>
          <w:strike w:val="false"/>
          <w:color w:val=""/>
        </w:rPr>
        <w:t>he judgment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the district court should be reversed.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Dated: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York, 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8, 2000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Respectfully submitted,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Attorney 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Amicus Curiae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of America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IDEON A. SCHOR,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Counsel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Certificate of Compliance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Pursuant to Rules 29(c), (d), and 32(a)(7)(C) of the Federal Rules of Appellate Procedure, the undersigned counsel for the United States hereby certifies t</w:t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