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PlainText"/>
        <w:jc w:val="center"/>
      </w:pPr>
    </w:p>
    <w:p>
      <w:pPr>
        <w:pStyle w:val="PlainText"/>
        <w:jc w:val="center"/>
      </w:pPr>
    </w:p>
    <w:p>
      <w:pPr>
        <w:pStyle w:val="PlainText"/>
        <w:jc w:val="center"/>
      </w:pPr>
    </w:p>
    <w:p>
      <w:pPr>
        <w:pStyle w:val="PlainText"/>
        <w:jc w:val="left"/>
      </w:pPr>
    </w:p>
    <w:p>
      <w:pPr>
        <w:pStyle w:val="PlainText"/>
        <w:jc w:val="left"/>
      </w:pPr>
    </w:p>
    <w:p>
      <w:pPr>
        <w:pStyle w:val="Heading1"/>
        <w:jc w:val="left"/>
      </w:pPr>
    </w:p>
    <w:p>
      <w:pPr>
        <w:pStyle w:val="Heading1"/>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Heading1"/>
        <w:jc w:val="left"/>
      </w:pPr>
    </w:p>
    <w:p>
      <w:pPr>
        <w:pStyle w:val="Heading1"/>
        <w:jc w:val="left"/>
      </w:pPr>
    </w:p>
    <w:p>
      <w:pPr>
        <w:pStyle w:val="Heading1"/>
        <w:jc w:val="left"/>
      </w:pPr>
    </w:p>
    <w:p>
      <w:pPr>
        <w:pStyle w:val="Heading1"/>
        <w:jc w:val="left"/>
      </w:pPr>
    </w:p>
    <w:p>
      <w:pPr>
        <w:pStyle w:val=""/>
        <w:jc w:val="left"/>
      </w:pPr>
    </w:p>
    <w:p>
      <w:pPr>
        <w:pStyle w:val="BodyText"/>
        <w:jc w:val="left"/>
      </w:pPr>
    </w:p>
    <w:p>
      <w:pPr>
        <w:pStyle w:val="BodyText"/>
        <w:jc w:val="left"/>
      </w:pPr>
    </w:p>
    <w:p>
      <w:pPr>
        <w:pStyle w:val="BodyText"/>
        <w:jc w:val="left"/>
      </w:pPr>
    </w:p>
    <w:p>
      <w:pPr>
        <w:pStyle w:val=""/>
        <w:jc w:val="left"/>
      </w:pPr>
    </w:p>
    <w:p>
      <w:pPr>
        <w:pStyle w:val=""/>
        <w:jc w:val="left"/>
      </w:pPr>
    </w:p>
    <w:p>
      <w:pPr>
        <w:pStyle w:val="BodyText"/>
        <w:jc w:val="left"/>
      </w:pPr>
    </w:p>
    <w:p>
      <w:pPr>
        <w:pStyle w:val=""/>
        <w:jc w:val="left"/>
      </w:pPr>
    </w:p>
    <w:p>
      <w:pPr>
        <w:pStyle w:val=""/>
        <w:jc w:val="left"/>
      </w:pPr>
    </w:p>
    <w:p>
      <w:pPr>
        <w:pStyle w:val=""/>
        <w:jc w:val="left"/>
      </w:pPr>
    </w:p>
    <w:p>
      <w:pPr>
        <w:pStyle w:val=""/>
        <w:jc w:val="center"/>
      </w:pPr>
    </w:p>
    <w:p>
      <w:pPr>
        <w:pStyle w:val=""/>
        <w:jc w:val="left"/>
      </w:pPr>
      <w:r>
        <w:rPr>
          <w:rFonts w:ascii="Arial" w:hAnsi="Arial" w:cs="Arial" w:eastAsia="Arial"/>
          <w:b w:val="false"/>
          <w:i w:val="false"/>
          <w:strike w:val="false"/>
          <w:color w:val=""/>
          <w:sz w:val="22"/>
        </w:rPr>
        <w:t/>
      </w:r>
    </w:p>
    <w:p>
      <w:pPr>
        <w:pStyle w:val=""/>
        <w:jc w:val="left"/>
      </w:pPr>
      <w:r>
        <w:rPr>
          <w:rFonts w:ascii="Arial" w:hAnsi="Arial" w:cs="Arial" w:eastAsia="Arial"/>
          <w:b w:val="false"/>
          <w:i w:val="false"/>
          <w:strike w:val="false"/>
          <w:color w:val=""/>
          <w:sz w:val="22"/>
        </w:rPr>
        <w:t>For GS-11:</w:t>
      </w:r>
    </w:p>
    <w:p>
      <w:pPr>
        <w:pStyle w:val=""/>
        <w:jc w:val="left"/>
      </w:pPr>
      <w:r>
        <w:rPr>
          <w:rFonts w:ascii="Arial" w:hAnsi="Arial" w:cs="Arial" w:eastAsia="Arial"/>
          <w:b w:val="false"/>
          <w:i w:val="false"/>
          <w:strike w:val="false"/>
          <w:color w:val=""/>
          <w:sz w:val="22"/>
        </w:rPr>
        <w:t>Education: Three (3) years of progressive higher level graduate education leading to a Ph. D. or equivalent doctoral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GS-9 grade level. Specialized experience is experience that equipped the applicant with particular knowledge, skill, and abilities to perform successfully the duties of the position, and that is typically in or related to the work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Further information concerning qualifications may be obtained from the Human Resources Management Office.</w:t>
      </w:r>
    </w:p>
    <w:p>
      <w:pPr>
        <w:pStyle w:val=""/>
        <w:jc w:val="left"/>
      </w:pPr>
      <w:r>
        <w:rPr>
          <w:rFonts w:ascii="Arial" w:hAnsi="Arial" w:cs="Arial" w:eastAsia="Arial"/>
          <w:b w:val="true"/>
          <w:i w:val="false"/>
          <w:strike w:val="false"/>
          <w:color w:val=""/>
          <w:sz w:val="22"/>
        </w:rPr>
        <w:t xml:space="preserve">COMPETENCIES:  </w:t>
      </w:r>
      <w:r>
        <w:rPr>
          <w:rFonts w:ascii="Arial" w:hAnsi="Arial" w:cs="Arial" w:eastAsia="Arial"/>
          <w:b w:val="false"/>
          <w:i w:val="false"/>
          <w:strike w:val="false"/>
          <w:color w:val=""/>
          <w:sz w:val="22"/>
        </w:rPr>
        <w:t xml:space="preserve">The following competencies will be used in the evaluation process for this position. Failure to respond to these competencies will result in not being given full consideration for this position. </w:t>
      </w:r>
    </w:p>
    <w:p>
      <w:pPr>
        <w:pStyle w:val=""/>
        <w:jc w:val="left"/>
      </w:pPr>
      <w:r>
        <w:rPr>
          <w:rFonts w:ascii="Arial" w:hAnsi="Arial" w:cs="Arial" w:eastAsia="Arial"/>
          <w:b w:val="false"/>
          <w:i w:val="false"/>
          <w:strike w:val="false"/>
          <w:color w:val=""/>
          <w:sz w:val="22"/>
        </w:rPr>
        <w:t>Ability to devise an effective orientation and mobility training program for blind and visually impaired individuals.</w:t>
      </w:r>
    </w:p>
    <w:p>
      <w:pPr>
        <w:pStyle w:val=""/>
        <w:jc w:val="left"/>
      </w:pPr>
      <w:r>
        <w:rPr>
          <w:rFonts w:ascii="Arial" w:hAnsi="Arial" w:cs="Arial" w:eastAsia="Arial"/>
          <w:b w:val="false"/>
          <w:i w:val="false"/>
          <w:strike w:val="false"/>
          <w:color w:val=""/>
          <w:sz w:val="22"/>
        </w:rPr>
        <w:t>Ability to evaluate patient’s needs, interests and skill level in the orientation and mobility area.</w:t>
      </w:r>
    </w:p>
    <w:p>
      <w:pPr>
        <w:pStyle w:val=""/>
        <w:jc w:val="left"/>
      </w:pPr>
      <w:r>
        <w:rPr>
          <w:rFonts w:ascii="Arial" w:hAnsi="Arial" w:cs="Arial" w:eastAsia="Arial"/>
          <w:b w:val="false"/>
          <w:i w:val="false"/>
          <w:strike w:val="false"/>
          <w:color w:val=""/>
          <w:sz w:val="22"/>
        </w:rPr>
        <w:t>Knowledge of the blind rehabilitation process and ability to apply this knowledge in a multi-disciplinary setting.</w:t>
      </w:r>
    </w:p>
    <w:p>
      <w:pPr>
        <w:pStyle w:val=""/>
        <w:jc w:val="left"/>
      </w:pPr>
      <w:r>
        <w:rPr>
          <w:rFonts w:ascii="Arial" w:hAnsi="Arial" w:cs="Arial" w:eastAsia="Arial"/>
          <w:b w:val="false"/>
          <w:i w:val="false"/>
          <w:strike w:val="false"/>
          <w:color w:val=""/>
          <w:sz w:val="22"/>
        </w:rPr>
        <w:t>Knowledge of standard blind rehabilitation techniques and practice.</w:t>
      </w:r>
    </w:p>
    <w:p>
      <w:pPr>
        <w:pStyle w:val=""/>
        <w:jc w:val="left"/>
      </w:pPr>
      <w:r>
        <w:rPr>
          <w:rFonts w:ascii="Arial" w:hAnsi="Arial" w:cs="Arial" w:eastAsia="Arial"/>
          <w:b w:val="false"/>
          <w:i w:val="false"/>
          <w:strike w:val="false"/>
          <w:color w:val=""/>
          <w:sz w:val="22"/>
        </w:rPr>
        <w:t>Ability to communicate effectively both orally and in writing.</w:t>
      </w:r>
    </w:p>
    <w:p>
      <w:pPr>
        <w:pStyle w:val=""/>
        <w:jc w:val="left"/>
      </w:pPr>
      <w:r>
        <w:rPr>
          <w:rFonts w:ascii="Arial" w:hAnsi="Arial" w:cs="Arial" w:eastAsia="Arial"/>
          <w:b w:val="true"/>
          <w:i w:val="false"/>
          <w:strike w:val="false"/>
          <w:color w:val=""/>
          <w:sz w:val="22"/>
        </w:rPr>
        <w:t>HOW TO APPLY:</w:t>
      </w:r>
    </w:p>
    <w:p>
      <w:pPr>
        <w:pStyle w:val=""/>
        <w:jc w:val="left"/>
      </w:pPr>
      <w:r>
        <w:rPr>
          <w:rFonts w:ascii="Arial" w:hAnsi="Arial" w:cs="Arial" w:eastAsia="Arial"/>
          <w:b w:val="false"/>
          <w:i w:val="false"/>
          <w:strike w:val="false"/>
          <w:color w:val=""/>
          <w:sz w:val="22"/>
        </w:rPr>
        <w:t xml:space="preserve"> </w:t>
      </w:r>
    </w:p>
    <w:p>
      <w:pPr>
        <w:pStyle w:val=""/>
        <w:jc w:val="left"/>
      </w:pPr>
      <w:r>
        <w:rPr>
          <w:rFonts w:ascii="Arial" w:hAnsi="Arial" w:cs="Arial" w:eastAsia="Arial"/>
          <w:b w:val="true"/>
          <w:i w:val="false"/>
          <w:strike w:val="false"/>
          <w:color w:val=""/>
          <w:sz w:val="22"/>
        </w:rPr>
        <w:t xml:space="preserve">VA Employees </w:t>
      </w:r>
      <w:r>
        <w:rPr>
          <w:rFonts w:ascii="Arial" w:hAnsi="Arial" w:cs="Arial" w:eastAsia="Arial"/>
          <w:b w:val="true"/>
          <w:i w:val="false"/>
          <w:strike w:val="false"/>
          <w:color w:val=""/>
          <w:sz w:val="22"/>
        </w:rPr>
        <w:t>West Palm Beach</w:t>
      </w:r>
      <w:r>
        <w:rPr>
          <w:rFonts w:ascii="Arial" w:hAnsi="Arial" w:cs="Arial" w:eastAsia="Arial"/>
          <w:b w:val="true"/>
          <w:i w:val="false"/>
          <w:strike w:val="false"/>
          <w:color w:val=""/>
          <w:sz w:val="22"/>
        </w:rPr>
        <w:t>:</w:t>
      </w:r>
    </w:p>
    <w:p>
      <w:pPr>
        <w:pStyle w:val="PlainText"/>
        <w:jc w:val="left"/>
      </w:pPr>
      <w:r>
        <w:rPr>
          <w:rFonts w:ascii="Arial" w:hAnsi="Arial" w:cs="Arial" w:eastAsia="Arial"/>
          <w:b w:val="false"/>
          <w:i w:val="false"/>
          <w:strike w:val="false"/>
          <w:color w:val=""/>
          <w:sz w:val="22"/>
        </w:rPr>
        <w:t xml:space="preserve">Employees may apply by submitting VA Form 5-4078, Application for </w:t>
      </w:r>
    </w:p>
    <w:p>
      <w:pPr>
        <w:pStyle w:val="PlainText"/>
        <w:jc w:val="left"/>
      </w:pPr>
      <w:r>
        <w:rPr>
          <w:rFonts w:ascii="Arial" w:hAnsi="Arial" w:cs="Arial" w:eastAsia="Arial"/>
          <w:b w:val="false"/>
          <w:i w:val="false"/>
          <w:strike w:val="false"/>
          <w:color w:val=""/>
          <w:sz w:val="22"/>
        </w:rPr>
        <w:t xml:space="preserve">Promotion or Reassignment, to Human Resources Management Service (HRMS); forwarding a message on Microsoft Outlook or, </w:t>
      </w:r>
      <w:r>
        <w:rPr>
          <w:rFonts w:ascii="Arial" w:hAnsi="Arial" w:cs="Arial" w:eastAsia="Arial"/>
          <w:b w:val="false"/>
          <w:i w:val="false"/>
          <w:strike w:val="false"/>
          <w:color w:val=""/>
          <w:sz w:val="22"/>
        </w:rPr>
        <w:t>VISTA</w:t>
      </w:r>
      <w:r>
        <w:rPr>
          <w:rFonts w:ascii="Arial" w:hAnsi="Arial" w:cs="Arial" w:eastAsia="Arial"/>
          <w:b w:val="false"/>
          <w:i w:val="false"/>
          <w:strike w:val="false"/>
          <w:color w:val=""/>
          <w:sz w:val="22"/>
        </w:rPr>
        <w:t xml:space="preserve"> to the HRMS point of contact with the following information:</w:t>
      </w:r>
    </w:p>
    <w:p>
      <w:pPr>
        <w:pStyle w:val=""/>
        <w:jc w:val="left"/>
      </w:pPr>
      <w:r>
        <w:rPr>
          <w:rFonts w:ascii="Arial" w:hAnsi="Arial" w:cs="Arial" w:eastAsia="Arial"/>
          <w:b w:val="false"/>
          <w:i w:val="false"/>
          <w:strike w:val="false"/>
          <w:color w:val=""/>
          <w:sz w:val="22"/>
        </w:rPr>
        <w:t>a.  Name</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b.  Title</w:t>
      </w:r>
      <w:r>
        <w:rPr>
          <w:rFonts w:ascii="Arial" w:hAnsi="Arial" w:cs="Arial" w:eastAsia="Arial"/>
          <w:b w:val="false"/>
          <w:i w:val="false"/>
          <w:strike w:val="false"/>
          <w:color w:val=""/>
          <w:sz w:val="22"/>
        </w:rPr>
        <w:t>, series and grade of position;</w:t>
      </w:r>
    </w:p>
    <w:p>
      <w:pPr>
        <w:pStyle w:val=""/>
        <w:jc w:val="left"/>
      </w:pPr>
      <w:r>
        <w:rPr>
          <w:rFonts w:ascii="Arial" w:hAnsi="Arial" w:cs="Arial" w:eastAsia="Arial"/>
          <w:b w:val="false"/>
          <w:i w:val="false"/>
          <w:strike w:val="false"/>
          <w:color w:val=""/>
          <w:sz w:val="22"/>
        </w:rPr>
        <w:t>c.  Location</w:t>
      </w:r>
      <w:r>
        <w:rPr>
          <w:rFonts w:ascii="Arial" w:hAnsi="Arial" w:cs="Arial" w:eastAsia="Arial"/>
          <w:b w:val="false"/>
          <w:i w:val="false"/>
          <w:strike w:val="false"/>
          <w:color w:val=""/>
          <w:sz w:val="22"/>
        </w:rPr>
        <w:t xml:space="preserve"> of vacancy (service and unit);</w:t>
      </w:r>
    </w:p>
    <w:p>
      <w:pPr>
        <w:pStyle w:val=""/>
        <w:jc w:val="left"/>
      </w:pPr>
      <w:r>
        <w:rPr>
          <w:rFonts w:ascii="Arial" w:hAnsi="Arial" w:cs="Arial" w:eastAsia="Arial"/>
          <w:b w:val="false"/>
          <w:i w:val="false"/>
          <w:strike w:val="false"/>
          <w:color w:val=""/>
          <w:sz w:val="22"/>
        </w:rPr>
        <w:t>d.  Vacancy</w:t>
      </w:r>
      <w:r>
        <w:rPr>
          <w:rFonts w:ascii="Arial" w:hAnsi="Arial" w:cs="Arial" w:eastAsia="Arial"/>
          <w:b w:val="false"/>
          <w:i w:val="false"/>
          <w:strike w:val="false"/>
          <w:color w:val=""/>
          <w:sz w:val="22"/>
        </w:rPr>
        <w:t xml:space="preserve"> announcement number; and</w:t>
      </w:r>
    </w:p>
    <w:p>
      <w:pPr>
        <w:pStyle w:val=""/>
        <w:jc w:val="left"/>
      </w:pPr>
      <w:r>
        <w:rPr>
          <w:rFonts w:ascii="Arial" w:hAnsi="Arial" w:cs="Arial" w:eastAsia="Arial"/>
          <w:b w:val="false"/>
          <w:i w:val="false"/>
          <w:strike w:val="false"/>
          <w:color w:val=""/>
          <w:sz w:val="22"/>
        </w:rPr>
        <w:t>e.  Grade</w:t>
      </w:r>
      <w:r>
        <w:rPr>
          <w:rFonts w:ascii="Arial" w:hAnsi="Arial" w:cs="Arial" w:eastAsia="Arial"/>
          <w:b w:val="false"/>
          <w:i w:val="false"/>
          <w:strike w:val="false"/>
          <w:color w:val=""/>
          <w:sz w:val="22"/>
        </w:rPr>
        <w:t xml:space="preserve"> levels for which consideration is requested (if announced at multiple grade levels).</w:t>
      </w:r>
    </w:p>
    <w:p>
      <w:pPr>
        <w:pStyle w:val=""/>
        <w:jc w:val="left"/>
      </w:pPr>
      <w:r>
        <w:rPr>
          <w:rFonts w:ascii="Arial" w:hAnsi="Arial" w:cs="Arial" w:eastAsia="Arial"/>
          <w:b w:val="false"/>
          <w:i w:val="false"/>
          <w:strike w:val="false"/>
          <w:color w:val=""/>
          <w:sz w:val="22"/>
        </w:rPr>
        <w:t>2.  Responses to KSA’s/</w:t>
      </w:r>
      <w:r>
        <w:rPr>
          <w:rFonts w:ascii="Arial" w:hAnsi="Arial" w:cs="Arial" w:eastAsia="Arial"/>
          <w:b w:val="false"/>
          <w:i w:val="false"/>
          <w:strike w:val="false"/>
          <w:color w:val=""/>
          <w:sz w:val="22"/>
        </w:rPr>
        <w:t>Competencies  (</w:t>
      </w:r>
      <w:r>
        <w:rPr>
          <w:rFonts w:ascii="Arial" w:hAnsi="Arial" w:cs="Arial" w:eastAsia="Arial"/>
          <w:b w:val="false"/>
          <w:i w:val="false"/>
          <w:strike w:val="false"/>
          <w:color w:val=""/>
          <w:sz w:val="22"/>
        </w:rPr>
        <w:t xml:space="preserve">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3.  Applicants who fail to submit all required forms might not receive full credit in the rating and ranking process.  Applications telefaxed and/or mailed in a Postage-Paid Government envelopes will not be accepted.</w:t>
      </w:r>
    </w:p>
    <w:p>
      <w:pPr>
        <w:pStyle w:val=""/>
        <w:jc w:val="left"/>
      </w:pPr>
      <w:r>
        <w:rPr>
          <w:rFonts w:ascii="Arial" w:hAnsi="Arial" w:cs="Arial" w:eastAsia="Arial"/>
          <w:b w:val="true"/>
          <w:i w:val="false"/>
          <w:strike w:val="false"/>
          <w:color w:val=""/>
          <w:sz w:val="22"/>
        </w:rPr>
        <w:t>VA Employees Nationwide:</w:t>
      </w:r>
    </w:p>
    <w:p>
      <w:pPr>
        <w:pStyle w:val=""/>
        <w:jc w:val="left"/>
      </w:pPr>
      <w:r>
        <w:rPr>
          <w:rFonts w:ascii="Arial" w:hAnsi="Arial" w:cs="Arial" w:eastAsia="Arial"/>
          <w:b w:val="false"/>
          <w:i w:val="false"/>
          <w:strike w:val="false"/>
          <w:color w:val=""/>
          <w:sz w:val="22"/>
        </w:rPr>
        <w:t xml:space="preserve">A signed VA Form 10-2850c, Application for Associated Health Occupations, available at </w:t>
      </w:r>
      <w:r>
        <w:rPr>
          <w:rFonts w:ascii="Arial" w:hAnsi="Arial" w:cs="Arial" w:eastAsia="Arial"/>
          <w:b w:val="false"/>
          <w:i w:val="false"/>
          <w:strike w:val="false"/>
          <w:color w:val=""/>
          <w:sz w:val="22"/>
        </w:rPr>
        <w:t>www.vacareers.com</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 current resume describing your experience in detail.  Please include starting and ending dates (mm/yy) and number of hours per week for each position.</w:t>
      </w:r>
    </w:p>
    <w:p>
      <w:pPr>
        <w:pStyle w:val=""/>
        <w:jc w:val="left"/>
      </w:pPr>
      <w:r>
        <w:rPr>
          <w:rFonts w:ascii="Arial" w:hAnsi="Arial" w:cs="Arial" w:eastAsia="Arial"/>
          <w:b w:val="false"/>
          <w:i w:val="false"/>
          <w:strike w:val="false"/>
          <w:color w:val=""/>
          <w:sz w:val="22"/>
        </w:rPr>
        <w:t xml:space="preserve">3.   OF-306, Declaration for Federal Employment, available at </w:t>
      </w:r>
      <w:r>
        <w:rPr>
          <w:rFonts w:ascii="Arial" w:hAnsi="Arial" w:cs="Arial" w:eastAsia="Arial"/>
          <w:b w:val="false"/>
          <w:i w:val="false"/>
          <w:strike w:val="false"/>
          <w:color w:val=""/>
          <w:sz w:val="22"/>
        </w:rPr>
        <w:t>www.usajobs.opm.gov</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4.   A copy of your last SF-50, Notification of Personnel Action.</w:t>
      </w:r>
    </w:p>
    <w:p>
      <w:pPr>
        <w:pStyle w:val=""/>
        <w:jc w:val="left"/>
      </w:pPr>
      <w:r>
        <w:rPr>
          <w:rFonts w:ascii="Arial" w:hAnsi="Arial" w:cs="Arial" w:eastAsia="Arial"/>
          <w:b w:val="false"/>
          <w:i w:val="false"/>
          <w:strike w:val="false"/>
          <w:color w:val=""/>
          <w:sz w:val="22"/>
        </w:rPr>
        <w:t>5.   A copy of your latest performance appraisal.</w:t>
      </w:r>
    </w:p>
    <w:p>
      <w:pPr>
        <w:pStyle w:val=""/>
        <w:jc w:val="left"/>
      </w:pPr>
      <w:r>
        <w:rPr>
          <w:rFonts w:ascii="Arial" w:hAnsi="Arial" w:cs="Arial" w:eastAsia="Arial"/>
          <w:b w:val="false"/>
          <w:i w:val="false"/>
          <w:strike w:val="false"/>
          <w:color w:val=""/>
          <w:sz w:val="22"/>
        </w:rPr>
        <w:t>6.   College transcripts, vocational training certificates, or licensures, if any.</w:t>
      </w:r>
    </w:p>
    <w:p>
      <w:pPr>
        <w:pStyle w:val=""/>
        <w:jc w:val="left"/>
      </w:pPr>
      <w:r>
        <w:rPr>
          <w:rFonts w:ascii="Arial" w:hAnsi="Arial" w:cs="Arial" w:eastAsia="Arial"/>
          <w:b w:val="false"/>
          <w:i w:val="false"/>
          <w:strike w:val="false"/>
          <w:color w:val=""/>
          <w:sz w:val="22"/>
        </w:rPr>
        <w:t xml:space="preserve">Responses to KSA’s/Competencies (rating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Applicants who fail to submit all required forms might not receive full credit in the</w:t>
      </w:r>
    </w:p>
    <w:p>
      <w:pPr>
        <w:pStyle w:val=""/>
        <w:jc w:val="left"/>
      </w:pPr>
      <w:r>
        <w:rPr>
          <w:rFonts w:ascii="Arial" w:hAnsi="Arial" w:cs="Arial" w:eastAsia="Arial"/>
          <w:b w:val="false"/>
          <w:i w:val="false"/>
          <w:strike w:val="false"/>
          <w:color w:val=""/>
          <w:sz w:val="22"/>
        </w:rPr>
        <w:t>rating</w:t>
      </w:r>
      <w:r>
        <w:rPr>
          <w:rFonts w:ascii="Arial" w:hAnsi="Arial" w:cs="Arial" w:eastAsia="Arial"/>
          <w:b w:val="false"/>
          <w:i w:val="false"/>
          <w:strike w:val="false"/>
          <w:color w:val=""/>
          <w:sz w:val="22"/>
        </w:rPr>
        <w:t xml:space="preserve"> and ranking process.  Applications telefaxed and/or mailed in a Postage-Paid Government envelopes will not be accepted.</w:t>
      </w:r>
    </w:p>
    <w:p>
      <w:pPr>
        <w:pStyle w:val=""/>
        <w:jc w:val="left"/>
      </w:pPr>
      <w:r>
        <w:rPr>
          <w:rFonts w:ascii="Arial" w:hAnsi="Arial" w:cs="Arial" w:eastAsia="Arial"/>
          <w:b w:val="true"/>
          <w:i w:val="false"/>
          <w:strike w:val="false"/>
          <w:color w:val=""/>
          <w:sz w:val="22"/>
        </w:rPr>
        <w:t>NOTE: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TIME IN GRADE: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Candidates for advancement to positions at</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 xml:space="preserve">GS-6, -7, etc., which is in a line of work properly classified at 1-grade intervals </w:t>
      </w:r>
      <w:r>
        <w:rPr>
          <w:rFonts w:ascii="Arial" w:hAnsi="Arial" w:cs="Arial" w:eastAsia="Arial"/>
          <w:b w:val="false"/>
          <w:i w:val="false"/>
          <w:strike w:val="false"/>
          <w:color w:val=""/>
          <w:sz w:val="22"/>
        </w:rPr>
        <w:t xml:space="preserve">must have completed at least one year of service in positions no more than one grade lower than the position to be filled.  </w:t>
      </w:r>
      <w:r>
        <w:rPr>
          <w:rFonts w:ascii="Arial" w:hAnsi="Arial" w:cs="Arial" w:eastAsia="Arial"/>
          <w:b w:val="true"/>
          <w:i w:val="false"/>
          <w:strike w:val="false"/>
          <w:color w:val=""/>
          <w:sz w:val="22"/>
        </w:rPr>
        <w:t xml:space="preserve">Candidates for advancement to positions at GS-7, -9, -11, which is in a line of work properly classified at 2-grade intervals </w:t>
      </w:r>
      <w:r>
        <w:rPr>
          <w:rFonts w:ascii="Arial" w:hAnsi="Arial" w:cs="Arial" w:eastAsia="Arial"/>
          <w:b w:val="false"/>
          <w:i w:val="false"/>
          <w:strike w:val="false"/>
          <w:color w:val=""/>
          <w:sz w:val="22"/>
        </w:rPr>
        <w:t>must have completed at least one year of service in positions no more than two grades lower than the positions to be filled.</w:t>
      </w:r>
    </w:p>
    <w:p>
      <w:pPr>
        <w:pStyle w:val=""/>
        <w:jc w:val="left"/>
      </w:pPr>
      <w:r>
        <w:rPr>
          <w:rFonts w:ascii="Arial" w:hAnsi="Arial" w:cs="Arial" w:eastAsia="Arial"/>
          <w:b w:val="false"/>
          <w:i w:val="false"/>
          <w:strike w:val="false"/>
          <w:color w:val=""/>
          <w:sz w:val="22"/>
        </w:rPr>
        <w:t>Applicant’s materials should be mailed to:</w:t>
      </w:r>
    </w:p>
    <w:p>
      <w:pPr>
        <w:pStyle w:val=""/>
        <w:jc w:val="left"/>
      </w:pPr>
      <w:r>
        <w:rPr>
          <w:rFonts w:ascii="Arial" w:hAnsi="Arial" w:cs="Arial" w:eastAsia="Arial"/>
          <w:b w:val="false"/>
          <w:i w:val="false"/>
          <w:strike w:val="false"/>
          <w:color w:val=""/>
          <w:sz w:val="22"/>
        </w:rPr>
        <w:t xml:space="preserve">VA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p>
    <w:p>
      <w:pPr>
        <w:pStyle w:val=""/>
        <w:jc w:val="left"/>
      </w:pPr>
      <w:r>
        <w:rPr>
          <w:rFonts w:ascii="Arial" w:hAnsi="Arial" w:cs="Arial" w:eastAsia="Arial"/>
          <w:b w:val="false"/>
          <w:i w:val="false"/>
          <w:strike w:val="false"/>
          <w:color w:val=""/>
          <w:sz w:val="22"/>
        </w:rPr>
        <w:t>HUMAN RESOURCES MANAGEMENT SERVICE (05)</w:t>
      </w:r>
    </w:p>
    <w:p>
      <w:pPr>
        <w:pStyle w:val=""/>
        <w:jc w:val="left"/>
      </w:pPr>
      <w:r>
        <w:rPr>
          <w:rFonts w:ascii="Arial" w:hAnsi="Arial" w:cs="Arial" w:eastAsia="Arial"/>
          <w:b w:val="false"/>
          <w:i w:val="false"/>
          <w:strike w:val="false"/>
          <w:color w:val=""/>
          <w:sz w:val="22"/>
        </w:rPr>
        <w:t>7305 NORTH MILITARY TRAIL</w:t>
      </w:r>
    </w:p>
    <w:p>
      <w:pPr>
        <w:pStyle w:val=""/>
        <w:jc w:val="left"/>
      </w:pPr>
      <w:r>
        <w:rPr>
          <w:rFonts w:ascii="Arial" w:hAnsi="Arial" w:cs="Arial" w:eastAsia="Arial"/>
          <w:b w:val="false"/>
          <w:i w:val="false"/>
          <w:strike w:val="false"/>
          <w:color w:val=""/>
          <w:sz w:val="22"/>
        </w:rPr>
        <w:t xml:space="preserve">Attn:  Felix Gonzalez </w:t>
      </w:r>
    </w:p>
    <w:p>
      <w:pPr>
        <w:pStyle w:val=""/>
        <w:jc w:val="left"/>
      </w:pP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 xml:space="preserve">WEST </w:t>
      </w:r>
      <w:r>
        <w:rPr>
          <w:rFonts w:ascii="Arial" w:hAnsi="Arial" w:cs="Arial" w:eastAsia="Arial"/>
          <w:b w:val="false"/>
          <w:i w:val="false"/>
          <w:strike w:val="false"/>
          <w:color w:val=""/>
          <w:sz w:val="22"/>
        </w:rPr>
        <w:t>PALM</w:t>
      </w:r>
      <w:r>
        <w:rPr>
          <w:rFonts w:ascii="Arial" w:hAnsi="Arial" w:cs="Arial" w:eastAsia="Arial"/>
          <w:b w:val="false"/>
          <w:i w:val="false"/>
          <w:strike w:val="false"/>
          <w:color w:val=""/>
          <w:sz w:val="22"/>
        </w:rPr>
        <w:t xml:space="preserve">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FL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33410-6400</w:t>
      </w:r>
    </w:p>
    <w:p>
      <w:pPr>
        <w:pStyle w:val=""/>
        <w:jc w:val="left"/>
      </w:pPr>
      <w:r>
        <w:rPr>
          <w:rFonts w:ascii="Arial" w:hAnsi="Arial" w:cs="Arial" w:eastAsia="Arial"/>
          <w:b w:val="false"/>
          <w:i w:val="false"/>
          <w:strike w:val="false"/>
          <w:color w:val=""/>
          <w:sz w:val="22"/>
        </w:rPr>
        <w:t>Applications must be received by the closing date to receive consideration.</w:t>
      </w:r>
    </w:p>
    <w:p>
      <w:pPr>
        <w:pStyle w:val=""/>
        <w:jc w:val="left"/>
      </w:pPr>
      <w:r>
        <w:rPr>
          <w:rFonts w:ascii="Arial" w:hAnsi="Arial" w:cs="Arial" w:eastAsia="Arial"/>
          <w:b w:val="false"/>
          <w:i w:val="false"/>
          <w:strike w:val="false"/>
          <w:color w:val=""/>
          <w:sz w:val="22"/>
        </w:rPr>
        <w:t xml:space="preserve">Thank you for your interest in the </w:t>
      </w:r>
      <w:r>
        <w:rPr>
          <w:rFonts w:ascii="Arial" w:hAnsi="Arial" w:cs="Arial" w:eastAsia="Arial"/>
          <w:b w:val="false"/>
          <w:i w:val="false"/>
          <w:strike w:val="false"/>
          <w:color w:val=""/>
          <w:sz w:val="22"/>
        </w:rPr>
        <w:t>West Palm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Veterans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Affairs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r>
        <w:rPr>
          <w:rFonts w:ascii="Arial" w:hAnsi="Arial" w:cs="Arial" w:eastAsia="Arial"/>
          <w:b w:val="false"/>
          <w:i w:val="false"/>
          <w:strike w:val="false"/>
          <w:color w:val=""/>
          <w:sz w:val="22"/>
        </w:rPr>
        <w:t>!</w:t>
      </w:r>
    </w:p>
    <w:p>
      <w:pPr>
        <w:pStyle w:val=""/>
        <w:jc w:val="left"/>
      </w:pPr>
      <w:r>
        <w:rPr>
          <w:rFonts w:ascii="Arial" w:hAnsi="Arial" w:cs="Arial" w:eastAsia="Arial"/>
          <w:b w:val="true"/>
          <w:i w:val="false"/>
          <w:strike w:val="false"/>
          <w:color w:val=""/>
          <w:sz w:val="22"/>
        </w:rPr>
        <w:t>ENGLISH PROFICIENCY:</w:t>
      </w:r>
      <w:r>
        <w:rPr>
          <w:rFonts w:ascii="Arial" w:hAnsi="Arial" w:cs="Arial" w:eastAsia="Arial"/>
          <w:b w:val="false"/>
          <w:i w:val="false"/>
          <w:strike w:val="false"/>
          <w:color w:val=""/>
          <w:sz w:val="22"/>
        </w:rPr>
        <w:t xml:space="preserve">  (38 </w:t>
      </w:r>
      <w:r>
        <w:rPr>
          <w:rFonts w:ascii="Arial" w:hAnsi="Arial" w:cs="Arial" w:eastAsia="Arial"/>
          <w:b w:val="false"/>
          <w:i w:val="false"/>
          <w:strike w:val="false"/>
          <w:color w:val=""/>
          <w:sz w:val="22"/>
        </w:rPr>
        <w:t>USC</w:t>
      </w:r>
      <w:r>
        <w:rPr>
          <w:rFonts w:ascii="Arial" w:hAnsi="Arial" w:cs="Arial" w:eastAsia="Arial"/>
          <w:b w:val="false"/>
          <w:i w:val="false"/>
          <w:strike w:val="false"/>
          <w:color w:val=""/>
          <w:sz w:val="22"/>
        </w:rPr>
        <w:t xml:space="preserve"> 4105 (c)):  Before candidates may be assigned to a position, which involves direct patient care, he/she must possess basic proficiency in both written and spoken English.</w:t>
      </w:r>
    </w:p>
    <w:p>
      <w:pPr>
        <w:pStyle w:val=""/>
        <w:jc w:val="left"/>
      </w:pPr>
      <w:r>
        <w:rPr>
          <w:rFonts w:ascii="Arial" w:hAnsi="Arial" w:cs="Arial" w:eastAsia="Arial"/>
          <w:b w:val="true"/>
          <w:i w:val="false"/>
          <w:strike w:val="false"/>
          <w:color w:val=""/>
          <w:sz w:val="22"/>
        </w:rPr>
        <w:t>THE DEPARTMENT OF VETERANS AFFAIRS IS AN EQUAL EMPLOYMENT</w:t>
      </w:r>
    </w:p>
    <w:p>
      <w:pPr>
        <w:pStyle w:val=""/>
        <w:jc w:val="left"/>
      </w:pPr>
      <w:r>
        <w:rPr>
          <w:rFonts w:ascii="Arial" w:hAnsi="Arial" w:cs="Arial" w:eastAsia="Arial"/>
          <w:b w:val="true"/>
          <w:i w:val="false"/>
          <w:strike w:val="false"/>
          <w:color w:val=""/>
          <w:sz w:val="22"/>
        </w:rPr>
        <w:t>OPPORTUNITY</w:t>
      </w:r>
      <w:r>
        <w:rPr>
          <w:rFonts w:ascii="Arial" w:hAnsi="Arial" w:cs="Arial" w:eastAsia="Arial"/>
          <w:b w:val="true"/>
          <w:i w:val="false"/>
          <w:strike w:val="false"/>
          <w:color w:val=""/>
          <w:sz w:val="22"/>
        </w:rPr>
        <w:t xml:space="preserve"> EMPLOYER</w:t>
      </w:r>
    </w:p>
    <w:p>
      <w:pPr>
        <w:pStyle w:val=""/>
        <w:jc w:val="left"/>
      </w:pPr>
      <w:r>
        <w:rPr>
          <w:rFonts w:ascii="Arial" w:hAnsi="Arial" w:cs="Arial" w:eastAsia="Arial"/>
          <w:b w:val="false"/>
          <w:i w:val="false"/>
          <w:strike w:val="false"/>
          <w:color w:val=""/>
          <w:sz w:val="22"/>
        </w:rPr>
        <w:t>DAVID W. GREEN</w:t>
      </w:r>
    </w:p>
    <w:p>
      <w:pPr>
        <w:pStyle w:val=""/>
        <w:jc w:val="left"/>
      </w:pPr>
      <w:r>
        <w:rPr>
          <w:rFonts w:ascii="Arial" w:hAnsi="Arial" w:cs="Arial" w:eastAsia="Arial"/>
          <w:b w:val="false"/>
          <w:i w:val="false"/>
          <w:strike w:val="false"/>
          <w:color w:val=""/>
          <w:sz w:val="22"/>
        </w:rPr>
        <w:t>Chief, Human Resources Mgmt Service</w:t>
      </w:r>
    </w:p>
    <w:p>
      <w:pPr>
        <w:pStyle w:val=""/>
        <w:jc w:val="left"/>
      </w:pPr>
      <w:r>
        <w:rPr>
          <w:rFonts w:ascii="Arial" w:hAnsi="Arial" w:cs="Arial" w:eastAsia="Arial"/>
          <w:b w:val="false"/>
          <w:i w:val="false"/>
          <w:strike w:val="false"/>
          <w:color w:val=""/>
          <w:sz w:val="22"/>
        </w:rPr>
        <w:t xml:space="preserve">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2018-05-14T17:51:12Z</dcterms:created>
  <dc:creator>Apache POI</dc:creator>
</cp:coreProperties>
</file>