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p>
    <w:p>
      <w:pPr>
        <w:pStyle w:val=""/>
        <w:jc w:val="left"/>
      </w:pPr>
    </w:p>
    <w:p>
      <w:pPr>
        <w:pStyle w:val=""/>
        <w:jc w:val="left"/>
      </w:pPr>
    </w:p>
    <w:p>
      <w:pPr>
        <w:pStyle w:val=""/>
        <w:jc w:val="left"/>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CHAPTER 15.</w:t>
      </w:r>
    </w:p>
    <w:p>
      <w:pPr>
        <w:pStyle w:val=""/>
        <w:jc w:val="center"/>
      </w:pPr>
      <w:r>
        <w:rPr>
          <w:rFonts w:ascii="" w:hAnsi="" w:cs="" w:eastAsia=""/>
          <w:b w:val="false"/>
          <w:i w:val="false"/>
          <w:strike w:val="false"/>
          <w:color w:val=""/>
          <w:sz w:val="22"/>
        </w:rPr>
        <w:t xml:space="preserve"> DWELLINGS UNFIT FOR HUMAN HABITATION</w:t>
      </w:r>
    </w:p>
    <w:p>
      <w:pPr>
        <w:pStyle w:val=""/>
        <w:jc w:val="center"/>
      </w:pPr>
      <w:r>
        <w:rPr>
          <w:rFonts w:ascii="" w:hAnsi="" w:cs="" w:eastAsia=""/>
          <w:b w:val="false"/>
          <w:i w:val="false"/>
          <w:strike w:val="false"/>
          <w:color w:val=""/>
          <w:sz w:val="22"/>
        </w:rPr>
        <w:t>ARTICLE 1.</w:t>
      </w:r>
    </w:p>
    <w:p>
      <w:pPr>
        <w:pStyle w:val=""/>
        <w:jc w:val="center"/>
      </w:pPr>
      <w:r>
        <w:rPr>
          <w:rFonts w:ascii="" w:hAnsi="" w:cs="" w:eastAsia=""/>
          <w:b w:val="false"/>
          <w:i w:val="false"/>
          <w:strike w:val="false"/>
          <w:color w:val=""/>
          <w:sz w:val="22"/>
        </w:rPr>
        <w:t xml:space="preserve"> IN MUNICIPALITIES OF OVER 1,000</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The following terms whenever used or referred to in this article shall have the following respective meanings for the purposes of this article, unless a different meaning clearly appears from the context: </w:t>
      </w:r>
    </w:p>
    <w:p>
      <w:pPr>
        <w:pStyle w:val=""/>
        <w:jc w:val="both"/>
      </w:pPr>
      <w:r>
        <w:rPr>
          <w:rFonts w:ascii="" w:hAnsi="" w:cs="" w:eastAsia=""/>
          <w:b w:val="false"/>
          <w:i w:val="false"/>
          <w:strike w:val="false"/>
          <w:color w:val=""/>
          <w:sz w:val="22"/>
        </w:rPr>
        <w:t>(1) “Municipality” shall mean any city or town re</w:t>
      </w:r>
      <w:r>
        <w:rPr>
          <w:rFonts w:ascii="" w:hAnsi="" w:cs="" w:eastAsia=""/>
          <w:b w:val="false"/>
          <w:i w:val="false"/>
          <w:strike w:val="false"/>
          <w:color w:val=""/>
          <w:sz w:val="22"/>
        </w:rPr>
        <w:t xml:space="preserve">gardless of population; </w:t>
      </w:r>
    </w:p>
    <w:p>
      <w:pPr>
        <w:pStyle w:val=""/>
        <w:jc w:val="both"/>
      </w:pPr>
      <w:r>
        <w:rPr>
          <w:rFonts w:ascii="" w:hAnsi="" w:cs="" w:eastAsia=""/>
          <w:b w:val="false"/>
          <w:i w:val="false"/>
          <w:strike w:val="false"/>
          <w:color w:val=""/>
          <w:sz w:val="22"/>
        </w:rPr>
        <w:t xml:space="preserve">(2) “Governing body” shall mean the council or other legislative body charged with governing a municipality; </w:t>
      </w:r>
    </w:p>
    <w:p>
      <w:pPr>
        <w:pStyle w:val=""/>
        <w:jc w:val="both"/>
      </w:pPr>
      <w:r>
        <w:rPr>
          <w:rFonts w:ascii="" w:hAnsi="" w:cs="" w:eastAsia=""/>
          <w:b w:val="false"/>
          <w:i w:val="false"/>
          <w:strike w:val="false"/>
          <w:color w:val=""/>
          <w:sz w:val="22"/>
        </w:rPr>
        <w:t>(3) “Public officer” shall mean the officer or officers who are authorized by ordinances adopted hereunder to exercise th</w:t>
      </w:r>
      <w:r>
        <w:rPr>
          <w:rFonts w:ascii="" w:hAnsi="" w:cs="" w:eastAsia=""/>
          <w:b w:val="false"/>
          <w:i w:val="false"/>
          <w:strike w:val="false"/>
          <w:color w:val=""/>
          <w:sz w:val="22"/>
        </w:rPr>
        <w:t xml:space="preserve">e powers prescribed by such ordinances and by this article; </w:t>
      </w:r>
    </w:p>
    <w:p>
      <w:pPr>
        <w:pStyle w:val=""/>
        <w:jc w:val="both"/>
      </w:pPr>
      <w:r>
        <w:rPr>
          <w:rFonts w:ascii="" w:hAnsi="" w:cs="" w:eastAsia=""/>
          <w:b w:val="false"/>
          <w:i w:val="false"/>
          <w:strike w:val="false"/>
          <w:color w:val=""/>
          <w:sz w:val="22"/>
        </w:rPr>
        <w:t>(4) “Public authority” shall mean any housing authority or any officer who is in charge of any department or branch of the government of the municipality or State relating to health, fire or buil</w:t>
      </w:r>
      <w:r>
        <w:rPr>
          <w:rFonts w:ascii="" w:hAnsi="" w:cs="" w:eastAsia=""/>
          <w:b w:val="false"/>
          <w:i w:val="false"/>
          <w:strike w:val="false"/>
          <w:color w:val=""/>
          <w:sz w:val="22"/>
        </w:rPr>
        <w:t xml:space="preserve">ding regulations or to other activities concerning dwellings in the municipality; </w:t>
      </w:r>
    </w:p>
    <w:p>
      <w:pPr>
        <w:pStyle w:val=""/>
        <w:jc w:val="both"/>
      </w:pPr>
      <w:r>
        <w:rPr>
          <w:rFonts w:ascii="" w:hAnsi="" w:cs="" w:eastAsia=""/>
          <w:b w:val="false"/>
          <w:i w:val="false"/>
          <w:strike w:val="false"/>
          <w:color w:val=""/>
          <w:sz w:val="22"/>
        </w:rPr>
        <w:t xml:space="preserve">(5) “Owner” shall mean the holder of the title in fee simple and every mortgagee of record; </w:t>
      </w:r>
    </w:p>
    <w:p>
      <w:pPr>
        <w:pStyle w:val=""/>
        <w:jc w:val="both"/>
      </w:pPr>
      <w:r>
        <w:rPr>
          <w:rFonts w:ascii="" w:hAnsi="" w:cs="" w:eastAsia=""/>
          <w:b w:val="false"/>
          <w:i w:val="false"/>
          <w:strike w:val="false"/>
          <w:color w:val=""/>
          <w:sz w:val="22"/>
        </w:rPr>
        <w:t>(6) “Parties in interest” shall mean all individuals, associations, corporations</w:t>
      </w:r>
      <w:r>
        <w:rPr>
          <w:rFonts w:ascii="" w:hAnsi="" w:cs="" w:eastAsia=""/>
          <w:b w:val="false"/>
          <w:i w:val="false"/>
          <w:strike w:val="false"/>
          <w:color w:val=""/>
          <w:sz w:val="22"/>
        </w:rPr>
        <w:t xml:space="preserve">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(7) “Dwelling” shall mean any building or structure, or part thereof, used and occupied for human habitation or intended to be so used and includes any outh</w:t>
      </w:r>
      <w:r>
        <w:rPr>
          <w:rFonts w:ascii="" w:hAnsi="" w:cs="" w:eastAsia=""/>
          <w:b w:val="false"/>
          <w:i w:val="false"/>
          <w:strike w:val="false"/>
          <w:color w:val=""/>
          <w:sz w:val="22"/>
        </w:rPr>
        <w:t xml:space="preserve">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Whenever any municipality of this State finds that there exist in such municipality dwellings which are unfit f</w:t>
      </w:r>
      <w:r>
        <w:rPr>
          <w:rFonts w:ascii="" w:hAnsi="" w:cs="" w:eastAsia=""/>
          <w:b w:val="false"/>
          <w:i w:val="false"/>
          <w:strike w:val="false"/>
          <w:color w:val=""/>
          <w:sz w:val="22"/>
        </w:rPr>
        <w:t>or human habitation due to (a) dilapidation, (b) defects increasing the hazards of fire, accidents or other calamities, (c) lack of ventilation, light or sanitary facilities or (d) other conditions rendering such dwellings unsafe or insanitary, dangerous o</w:t>
      </w:r>
      <w:r>
        <w:rPr>
          <w:rFonts w:ascii="" w:hAnsi="" w:cs="" w:eastAsia=""/>
          <w:b w:val="false"/>
          <w:i w:val="false"/>
          <w:strike w:val="false"/>
          <w:color w:val=""/>
          <w:sz w:val="22"/>
        </w:rPr>
        <w:t xml:space="preserve">r detrimental to the health, safety or morals or otherwise inimical to the welfare of the residents of such municipality, such municipality may exercise its police powers to repair, 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xml:space="preserve">20 exist within a municipality, the governing body </w:t>
      </w:r>
      <w:r>
        <w:rPr>
          <w:rFonts w:ascii="" w:hAnsi="" w:cs="" w:eastAsia=""/>
          <w:b w:val="false"/>
          <w:i w:val="false"/>
          <w:strike w:val="false"/>
          <w:color w:val=""/>
          <w:sz w:val="22"/>
        </w:rPr>
        <w:t xml:space="preserve">of such municipality may adopt ordinances relating to the dwellings within such municipality which are unfit for human habitation.  Such ordinances may include the following provisions: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2018-05-14T17:51:13Z</dcterms:created>
  <dc:creator>Apache POI</dc:creator>
</cp:coreProperties>
</file>