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the</w:t>
      </w:r>
      <w:r>
        <w:rPr>
          <w:rFonts w:ascii="" w:hAnsi="" w:cs="" w:eastAsia=""/>
          <w:b w:val="false"/>
          <w:i w:val="false"/>
          <w:strike w:val="false"/>
          <w:color w:val=""/>
          <w:sz w:val="22"/>
        </w:rPr>
        <w:t xml:space="preserve"> court may, upon such petition, issue a temporary injunction restraining the public officer pending the final disposition of the cause.  Hearings shall be had by the court on such petitions within twenty days or as soon thereafter as possible and shall be </w:t>
      </w:r>
      <w:r>
        <w:rPr>
          <w:rFonts w:ascii="" w:hAnsi="" w:cs="" w:eastAsia=""/>
          <w:b w:val="false"/>
          <w:i w:val="false"/>
          <w:strike w:val="false"/>
          <w:color w:val=""/>
          <w:sz w:val="22"/>
        </w:rPr>
        <w:t xml:space="preserve">given preference over other matters on the court’s calendar.  The court shall hear and determine the issues raised and shall enter such final order or decree as law and justice may require.  In all such proceedings the findings of the public officer as to </w:t>
      </w:r>
      <w:r>
        <w:rPr>
          <w:rFonts w:ascii="" w:hAnsi="" w:cs="" w:eastAsia=""/>
          <w:b w:val="false"/>
          <w:i w:val="false"/>
          <w:strike w:val="false"/>
          <w:color w:val=""/>
          <w:sz w:val="22"/>
        </w:rPr>
        <w:t>facts, if supported by evidence, shall be conclusive.  Costs shall be in the discretion of the court.  The remedies herein provided shall be exclusive remedies and no person affected by an order of the public officer shall be entitled to recover any damage</w:t>
      </w:r>
      <w:r>
        <w:rPr>
          <w:rFonts w:ascii="" w:hAnsi="" w:cs="" w:eastAsia=""/>
          <w:b w:val="false"/>
          <w:i w:val="false"/>
          <w:strike w:val="false"/>
          <w:color w:val=""/>
          <w:sz w:val="22"/>
        </w:rPr>
        <w:t xml:space="preserv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2018-05-14T17:51:14Z</dcterms:created>
  <dc:creator>Apache POI</dc:creator>
</cp:coreProperties>
</file>