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Address"/>
        <w:jc w:val="left"/>
      </w:pPr>
    </w:p>
    <w:p>
      <w:pPr>
        <w:pStyle w:val="Heading1SectionHeading"/>
        <w:jc w:val="left"/>
      </w:pPr>
    </w:p>
    <w:p>
      <w:pPr>
        <w:pStyle w:val="BodyText2"/>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
        <w:jc w:val="both"/>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Style14ptBoldItalicJustifiedLinespacingAtleast108"/>
        <w:jc w:val="left"/>
      </w:pPr>
    </w:p>
    <w:p>
      <w:pPr>
        <w:pStyle w:val=""/>
        <w:jc w:val="both"/>
      </w:pPr>
    </w:p>
    <w:p>
      <w:pPr>
        <w:pStyle w:val=""/>
        <w:jc w:val="both"/>
      </w:pPr>
    </w:p>
    <w:p>
      <w:pPr>
        <w:pStyle w:val=""/>
        <w:jc w:val="both"/>
      </w:pPr>
    </w:p>
    <w:p>
      <w:pPr>
        <w:pStyle w:val="Style14ptBoldItalicJustifiedLinespacingAtleast108"/>
        <w:jc w:val="left"/>
      </w:pPr>
    </w:p>
    <w:p>
      <w:pPr>
        <w:pStyle w:val="Heading3"/>
        <w:jc w:val="left"/>
      </w:pPr>
    </w:p>
    <w:p>
      <w:pPr>
        <w:pStyle w:val=""/>
        <w:jc w:val="both"/>
      </w:pPr>
    </w:p>
    <w:p>
      <w:pPr>
        <w:pStyle w:val=""/>
        <w:jc w:val="both"/>
      </w:pPr>
    </w:p>
    <w:p>
      <w:pPr>
        <w:pStyle w:val=""/>
        <w:jc w:val="both"/>
      </w:pPr>
    </w:p>
    <w:p>
      <w:pPr>
        <w:pStyle w:val=""/>
        <w:jc w:val="both"/>
      </w:pPr>
    </w:p>
    <w:p>
      <w:pPr>
        <w:pStyle w:val=""/>
        <w:jc w:val="both"/>
      </w:pPr>
    </w:p>
    <w:p>
      <w:pPr>
        <w:pStyle w:val="Heading3"/>
        <w:jc w:val="left"/>
      </w:pPr>
    </w:p>
    <w:p>
      <w:pPr>
        <w:pStyle w:val=""/>
        <w:jc w:val="both"/>
      </w:pPr>
      <w:r>
        <w:rPr>
          <w:rFonts w:ascii="Arial Narrow" w:hAnsi="Arial Narrow" w:cs="Arial Narrow" w:eastAsia="Arial Narrow"/>
          <w:b w:val="false"/>
          <w:i w:val="false"/>
          <w:strike w:val="false"/>
          <w:color w:val=""/>
        </w:rPr>
        <w:t/>
      </w:r>
      <w:r>
        <w:rPr>
          <w:rFonts w:ascii="Arial Narrow" w:hAnsi="Arial Narrow" w:cs="Arial Narrow" w:eastAsia="Arial Narrow"/>
          <w:b w:val="false"/>
          <w:i w:val="false"/>
          <w:strike w:val="false"/>
          <w:color w:val=""/>
        </w:rPr>
        <w:t>Other problems involving known historical resources include inappropriate alterations that compromise architectural design and values, abandonment and deterioration of structures, and adjacent development which is incompatible with the historic context of a particular resource.</w:t>
      </w:r>
    </w:p>
    <w:p>
      <w:pPr>
        <w:pStyle w:val=""/>
        <w:jc w:val="both"/>
      </w:pPr>
      <w:r>
        <w:rPr>
          <w:rFonts w:ascii="Arial Narrow" w:hAnsi="Arial Narrow" w:cs="Arial Narrow" w:eastAsia="Arial Narrow"/>
          <w:b w:val="false"/>
          <w:i w:val="false"/>
          <w:strike w:val="false"/>
          <w:color w:val=""/>
        </w:rPr>
        <w:t xml:space="preserve">As discussed earlier, an assessment of the overall cultural significance of lakes is incorporated in LURC's lake database.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However, of over 1,500 lakes contained in the database, only 10 to 15 percent were surveyed to determine their archaeological potential.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 xml:space="preserve">Consequently, the primary source of cultural resource information for the agency’s review of development proposals is not complete. </w:t>
      </w:r>
      <w:r>
        <w:rPr>
          <w:rFonts w:ascii="Arial Narrow" w:hAnsi="Arial Narrow" w:cs="Arial Narrow" w:eastAsia="Arial Narrow"/>
          <w:b w:val="false"/>
          <w:i w:val="false"/>
          <w:strike w:val="false"/>
          <w:color w:val=""/>
        </w:rPr>
        <w:t xml:space="preserve"> </w:t>
      </w:r>
      <w:r>
        <w:rPr>
          <w:rFonts w:ascii="Arial Narrow" w:hAnsi="Arial Narrow" w:cs="Arial Narrow" w:eastAsia="Arial Narrow"/>
          <w:b w:val="false"/>
          <w:i w:val="false"/>
          <w:strike w:val="false"/>
          <w:color w:val=""/>
        </w:rPr>
        <w:t>Since the majority of sites are located within 300 to 400 yards of the shorelines of canoe-navigable waterbodies, protection efforts may be enhanced by considering whether criteria can be developed for determining when to request MHPC review of permit application on lakes that have not yet been assessed.</w:t>
      </w:r>
    </w:p>
    <w:p>
      <w:pPr>
        <w:pStyle w:val=""/>
        <w:jc w:val="both"/>
      </w:pPr>
      <w:r>
        <w:rPr>
          <w:rFonts w:ascii="Arial Narrow" w:hAnsi="Arial Narrow" w:cs="Arial Narrow" w:eastAsia="Arial Narrow"/>
          <w:b w:val="false"/>
          <w:i w:val="false"/>
          <w:strike w:val="false"/>
          <w:color w:val=""/>
        </w:rPr>
        <w:t xml:space="preserve">Both </w:t>
      </w:r>
      <w:r>
        <w:rPr>
          <w:rFonts w:ascii="Arial Narrow" w:hAnsi="Arial Narrow" w:cs="Arial Narrow" w:eastAsia="Arial Narrow"/>
          <w:b w:val="false"/>
          <w:i w:val="false"/>
          <w:strike w:val="false"/>
          <w:color w:val=""/>
        </w:rPr>
        <w:t xml:space="preserve">LURC and MHPC </w:t>
      </w:r>
      <w:r>
        <w:rPr>
          <w:rFonts w:ascii="Arial Narrow" w:hAnsi="Arial Narrow" w:cs="Arial Narrow" w:eastAsia="Arial Narrow"/>
          <w:b w:val="false"/>
          <w:i w:val="false"/>
          <w:strike w:val="false"/>
          <w:color w:val=""/>
        </w:rPr>
        <w:t>could strengthen their efforts to protect these cultural resources by further cooperation.  The following needs warrant consideration (</w:t>
      </w:r>
      <w:r>
        <w:rPr>
          <w:rFonts w:ascii="Arial Narrow" w:hAnsi="Arial Narrow" w:cs="Arial Narrow" w:eastAsia="Arial Narrow"/>
          <w:b w:val="false"/>
          <w:i w:val="false"/>
          <w:strike w:val="false"/>
          <w:color w:val=""/>
        </w:rPr>
        <w:t>1</w:t>
      </w:r>
      <w:r>
        <w:rPr>
          <w:rFonts w:ascii="Arial Narrow" w:hAnsi="Arial Narrow" w:cs="Arial Narrow" w:eastAsia="Arial Narrow"/>
          <w:b w:val="false"/>
          <w:i w:val="false"/>
          <w:strike w:val="false"/>
          <w:color w:val=""/>
        </w:rPr>
        <w:t>) a strengthened process for assuring that all applications with potential impacts on significant archaeological  or historical resources are being adequately reviewed; (</w:t>
      </w:r>
      <w:r>
        <w:rPr>
          <w:rFonts w:ascii="Arial Narrow" w:hAnsi="Arial Narrow" w:cs="Arial Narrow" w:eastAsia="Arial Narrow"/>
          <w:b w:val="false"/>
          <w:i w:val="false"/>
          <w:strike w:val="false"/>
          <w:color w:val=""/>
        </w:rPr>
        <w:t>2</w:t>
      </w:r>
      <w:r>
        <w:rPr>
          <w:rFonts w:ascii="Arial Narrow" w:hAnsi="Arial Narrow" w:cs="Arial Narrow" w:eastAsia="Arial Narrow"/>
          <w:b w:val="false"/>
          <w:i w:val="false"/>
          <w:strike w:val="false"/>
          <w:color w:val=""/>
        </w:rPr>
        <w:t>) criteria for identifying potential archaeological sites not located near shorelines; (</w:t>
      </w:r>
      <w:r>
        <w:rPr>
          <w:rFonts w:ascii="Arial Narrow" w:hAnsi="Arial Narrow" w:cs="Arial Narrow" w:eastAsia="Arial Narrow"/>
          <w:b w:val="false"/>
          <w:i w:val="false"/>
          <w:strike w:val="false"/>
          <w:color w:val=""/>
        </w:rPr>
        <w:t>3</w:t>
      </w:r>
      <w:r>
        <w:rPr>
          <w:rFonts w:ascii="Arial Narrow" w:hAnsi="Arial Narrow" w:cs="Arial Narrow" w:eastAsia="Arial Narrow"/>
          <w:b w:val="false"/>
          <w:i w:val="false"/>
          <w:strike w:val="false"/>
          <w:color w:val=""/>
        </w:rPr>
        <w:t>) an estimate of the costs of professional reconnaissance and survey activities, prior to requiring such an evaluation through LURC procedures; (</w:t>
      </w:r>
      <w:r>
        <w:rPr>
          <w:rFonts w:ascii="Arial Narrow" w:hAnsi="Arial Narrow" w:cs="Arial Narrow" w:eastAsia="Arial Narrow"/>
          <w:b w:val="false"/>
          <w:i w:val="false"/>
          <w:strike w:val="false"/>
          <w:color w:val=""/>
        </w:rPr>
        <w:t>4</w:t>
      </w:r>
      <w:r>
        <w:rPr>
          <w:rFonts w:ascii="Arial Narrow" w:hAnsi="Arial Narrow" w:cs="Arial Narrow" w:eastAsia="Arial Narrow"/>
          <w:b w:val="false"/>
          <w:i w:val="false"/>
          <w:strike w:val="false"/>
          <w:color w:val=""/>
        </w:rPr>
        <w:t>) an approach to dealing with architectural design issues for both clustered and isolated historical structures and/or sites which occur within the jurisdiction; and (</w:t>
      </w:r>
      <w:r>
        <w:rPr>
          <w:rFonts w:ascii="Arial Narrow" w:hAnsi="Arial Narrow" w:cs="Arial Narrow" w:eastAsia="Arial Narrow"/>
          <w:b w:val="false"/>
          <w:i w:val="false"/>
          <w:strike w:val="false"/>
          <w:color w:val=""/>
        </w:rPr>
        <w:t>5</w:t>
      </w:r>
      <w:r>
        <w:rPr>
          <w:rFonts w:ascii="Arial Narrow" w:hAnsi="Arial Narrow" w:cs="Arial Narrow" w:eastAsia="Arial Narrow"/>
          <w:b w:val="false"/>
          <w:i w:val="false"/>
          <w:strike w:val="false"/>
          <w:color w:val=""/>
        </w:rPr>
        <w:t>) joint efforts to obtain funding to further investigate the extensive areas of the</w:t>
      </w:r>
      <w:r>
        <w:rPr>
          <w:rFonts w:ascii="Arial Narrow" w:hAnsi="Arial Narrow" w:cs="Arial Narrow" w:eastAsia="Arial Narrow"/>
          <w:b w:val="false"/>
          <w:i w:val="false"/>
          <w:strike w:val="false"/>
          <w:color w:val=""/>
        </w:rPr>
        <w:t xml:space="preserve"> jurisdiction not yet surveyed.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2018-05-14T17:51:16Z</dcterms:created>
  <dc:creator>Apache POI</dc:creator>
</cp:coreProperties>
</file>