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BodyText"/>
        <w:jc w:val="left"/>
      </w:pPr>
    </w:p>
    <w:p>
      <w:pPr>
        <w:pStyle w:val="BodyText"/>
        <w:jc w:val="left"/>
      </w:pPr>
    </w:p>
    <w:p>
      <w:pPr>
        <w:pStyle w:val="BodyText"/>
        <w:jc w:val="left"/>
      </w:pPr>
    </w:p>
    <w:p>
      <w:pPr>
        <w:pStyle w:val="BodyText"/>
        <w:jc w:val="left"/>
      </w:pPr>
    </w:p>
    <w:p>
      <w:pPr>
        <w:pStyle w:val="Heading1"/>
        <w:jc w:val="left"/>
      </w:pPr>
    </w:p>
    <w:p>
      <w:pPr>
        <w:pStyle w:val=""/>
        <w:jc w:val="left"/>
      </w:pPr>
    </w:p>
    <w:p>
      <w:pPr>
        <w:pStyle w:val=""/>
        <w:jc w:val="left"/>
      </w:pPr>
    </w:p>
    <w:p>
      <w:pPr>
        <w:pStyle w:val="BodyText"/>
        <w:jc w:val="left"/>
      </w:pPr>
    </w:p>
    <w:p>
      <w:pPr>
        <w:pStyle w:val="Heading1"/>
        <w:jc w:val="left"/>
      </w:pPr>
    </w:p>
    <w:p>
      <w:pPr>
        <w:pStyle w:val="TOC1"/>
        <w:jc w:val="left"/>
      </w:pPr>
    </w:p>
    <w:p>
      <w:pPr>
        <w:pStyle w:val="TOC1"/>
        <w:jc w:val="left"/>
      </w:pPr>
    </w:p>
    <w:p>
      <w:pPr>
        <w:pStyle w:val="TOC1"/>
        <w:jc w:val="left"/>
      </w:pPr>
    </w:p>
    <w:p>
      <w:pPr>
        <w:pStyle w:val="TOC1"/>
        <w:jc w:val="left"/>
      </w:pPr>
    </w:p>
    <w:p>
      <w:pPr>
        <w:pStyle w:val="TOC1"/>
        <w:jc w:val="left"/>
      </w:pPr>
    </w:p>
    <w:p>
      <w:pPr>
        <w:pStyle w:val="TOC1"/>
        <w:jc w:val="left"/>
      </w:pPr>
    </w:p>
    <w:p>
      <w:pPr>
        <w:pStyle w:val="TOC1"/>
        <w:jc w:val="left"/>
      </w:pPr>
    </w:p>
    <w:p>
      <w:pPr>
        <w:pStyle w:val="TOC2"/>
        <w:jc w:val="left"/>
      </w:pPr>
    </w:p>
    <w:p>
      <w:pPr>
        <w:pStyle w:val="TOC2"/>
        <w:jc w:val="left"/>
      </w:pPr>
    </w:p>
    <w:p>
      <w:pPr>
        <w:pStyle w:val="TOC3"/>
        <w:jc w:val="left"/>
      </w:pPr>
    </w:p>
    <w:p>
      <w:pPr>
        <w:pStyle w:val="TOC3"/>
        <w:jc w:val="left"/>
      </w:pPr>
    </w:p>
    <w:p>
      <w:pPr>
        <w:pStyle w:val="TOC4"/>
        <w:jc w:val="left"/>
      </w:pPr>
    </w:p>
    <w:p>
      <w:pPr>
        <w:pStyle w:val="TOC4"/>
        <w:jc w:val="left"/>
      </w:pPr>
    </w:p>
    <w:p>
      <w:pPr>
        <w:pStyle w:val="TOC2"/>
        <w:jc w:val="left"/>
      </w:pPr>
    </w:p>
    <w:p>
      <w:pPr>
        <w:pStyle w:val="TOC1"/>
        <w:jc w:val="left"/>
      </w:pPr>
    </w:p>
    <w:p>
      <w:pPr>
        <w:pStyle w:val="TOC1"/>
        <w:jc w:val="left"/>
      </w:pPr>
    </w:p>
    <w:p>
      <w:pPr>
        <w:pStyle w:val="TOC2"/>
        <w:jc w:val="left"/>
      </w:pPr>
    </w:p>
    <w:p>
      <w:pPr>
        <w:pStyle w:val="TOC2"/>
        <w:jc w:val="left"/>
      </w:pPr>
    </w:p>
    <w:p>
      <w:pPr>
        <w:pStyle w:val="TOC2"/>
        <w:jc w:val="left"/>
      </w:pPr>
    </w:p>
    <w:p>
      <w:pPr>
        <w:pStyle w:val="TOC2"/>
        <w:jc w:val="left"/>
      </w:pPr>
    </w:p>
    <w:p>
      <w:pPr>
        <w:pStyle w:val="TOC1"/>
        <w:jc w:val="left"/>
      </w:pPr>
    </w:p>
    <w:p>
      <w:pPr>
        <w:pStyle w:val="TOC2"/>
        <w:jc w:val="left"/>
      </w:pPr>
    </w:p>
    <w:p>
      <w:pPr>
        <w:pStyle w:val="TOC2"/>
        <w:jc w:val="left"/>
      </w:pPr>
    </w:p>
    <w:p>
      <w:pPr>
        <w:pStyle w:val="TOC2"/>
        <w:jc w:val="left"/>
      </w:pPr>
    </w:p>
    <w:p>
      <w:pPr>
        <w:pStyle w:val="TOC3"/>
        <w:jc w:val="left"/>
      </w:pPr>
    </w:p>
    <w:p>
      <w:pPr>
        <w:pStyle w:val="TOC3"/>
        <w:jc w:val="left"/>
      </w:pPr>
    </w:p>
    <w:p>
      <w:pPr>
        <w:pStyle w:val="TOC3"/>
        <w:jc w:val="left"/>
      </w:pPr>
    </w:p>
    <w:p>
      <w:pPr>
        <w:pStyle w:val="TOC3"/>
        <w:jc w:val="left"/>
      </w:pPr>
    </w:p>
    <w:p>
      <w:pPr>
        <w:pStyle w:val="TOC3"/>
        <w:jc w:val="left"/>
      </w:pPr>
    </w:p>
    <w:p>
      <w:pPr>
        <w:pStyle w:val="TOC3"/>
        <w:jc w:val="left"/>
      </w:pPr>
    </w:p>
    <w:p>
      <w:pPr>
        <w:pStyle w:val="TOC2"/>
        <w:jc w:val="left"/>
      </w:pPr>
    </w:p>
    <w:p>
      <w:pPr>
        <w:pStyle w:val="TOC1"/>
        <w:jc w:val="left"/>
      </w:pPr>
    </w:p>
    <w:p>
      <w:pPr>
        <w:pStyle w:val="TOC1"/>
        <w:jc w:val="left"/>
      </w:pPr>
    </w:p>
    <w:p>
      <w:pPr>
        <w:pStyle w:val="TOC1"/>
        <w:jc w:val="left"/>
      </w:pPr>
    </w:p>
    <w:p>
      <w:pPr>
        <w:pStyle w:val="TOC1"/>
        <w:jc w:val="left"/>
      </w:pPr>
    </w:p>
    <w:p>
      <w:pPr>
        <w:pStyle w:val="TOC1"/>
        <w:jc w:val="left"/>
      </w:pPr>
    </w:p>
    <w:p>
      <w:pPr>
        <w:pStyle w:val="TOC1"/>
        <w:jc w:val="left"/>
      </w:pPr>
    </w:p>
    <w:p>
      <w:pPr>
        <w:pStyle w:val="TOC1"/>
        <w:jc w:val="left"/>
      </w:pPr>
    </w:p>
    <w:p>
      <w:pPr>
        <w:pStyle w:val="Heading1"/>
        <w:jc w:val="left"/>
      </w:pPr>
    </w:p>
    <w:tbl>
      <w:tblPr>
        <w:tblStyle w:val=""/>
        <w:tblStyleRowBandSize w:val="0"/>
        <w:tblStyleColBandSize w:val="0"/>
        <w:tblW w:w="799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val="nil"/>
              <w:bottom w:color="auto" w:space="0" w:sz="4" w:val="single"/>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Science Members</w:t>
            </w:r>
          </w:p>
        </w:tc>
        <w:tc>
          <w:tcPr>
            <w:tcW w:type="dxa" w:w="4753"/>
            <w:tcBorders>
              <w:top w:val="nil"/>
              <w:left w:val="nil"/>
              <w:bottom w:color="auto" w:space="0" w:sz="4" w:val="single"/>
              <w:right w:val="nil"/>
            </w:tcBorders>
            <w:tcMar>
              <w:top w:type="dxa" w:w="13"/>
              <w:left w:type="dxa" w:w="13"/>
              <w:bottom w:type="dxa" w:w="0"/>
              <w:right w:type="dxa" w:w="13"/>
            </w:tcMar>
            <w:vAlign w:val="bottom"/>
          </w:tcPr>
          <w:p w:rsidR="008A3AB6" w:rsidRDefault="008A3AB6">
            <w:pPr>
              <w:rPr>
                <w:rFonts w:eastAsia="Arial Unicode MS"/>
                <w:sz w:val="28"/>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510"/>
          <w:jc w:val="center"/>
        </w:trPr>
        <w:tc>
          <w:tcPr>
            <w:tcW w:type="dxa" w:w="3237"/>
            <w:tcBorders>
              <w:top w:color="auto" w:space="0" w:sz="4" w:val="single"/>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Andrew Steele</w:t>
            </w:r>
          </w:p>
        </w:tc>
        <w:tc>
          <w:tcPr>
            <w:tcW w:type="dxa" w:w="4753"/>
            <w:tcBorders>
              <w:top w:color="auto" w:space="0" w:sz="4" w:val="single"/>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 xml:space="preserve">Carnegie Institution of </w:t>
            </w:r>
            <w:smartTag w:element="State" w:uri="urn:schemas-microsoft-com:office:smarttags">
              <w:smartTag w:element="place" w:uri="urn:schemas-microsoft-com:office:smarttags">
                <w:r>
                  <w:rPr>
                    <w:sz w:val="28"/>
                  </w:rPr>
                  <w:t>Washington</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Bob Anderson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Type" w:uri="urn:schemas-microsoft-com:office:smarttags">
                <w:r>
                  <w:rPr>
                    <w:sz w:val="28"/>
                  </w:rPr>
                  <w:t>University</w:t>
                </w:r>
              </w:smartTag>
              <w:r>
                <w:rPr>
                  <w:sz w:val="28"/>
                </w:rPr>
                <w:t xml:space="preserve"> of </w:t>
              </w:r>
              <w:smartTag w:element="PlaceName" w:uri="urn:schemas-microsoft-com:office:smarttags">
                <w:r>
                  <w:rPr>
                    <w:sz w:val="28"/>
                  </w:rPr>
                  <w:t>Colorado</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David Blake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Ames</w:t>
                </w:r>
              </w:smartTag>
              <w:r>
                <w:rPr>
                  <w:sz w:val="28"/>
                </w:rPr>
                <w:t xml:space="preserve"> </w:t>
              </w:r>
              <w:smartTag w:element="PlaceName" w:uri="urn:schemas-microsoft-com:office:smarttags">
                <w:r>
                  <w:rPr>
                    <w:sz w:val="28"/>
                  </w:rPr>
                  <w:t>Research</w:t>
                </w:r>
              </w:smartTag>
              <w:r>
                <w:rPr>
                  <w:sz w:val="28"/>
                </w:rPr>
                <w:t xml:space="preserve"> </w:t>
              </w:r>
              <w:smartTag w:element="PlaceType" w:uri="urn:schemas-microsoft-com:office:smarttags">
                <w:r>
                  <w:rPr>
                    <w:sz w:val="28"/>
                  </w:rPr>
                  <w:t>Center</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Hunter Waite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Type" w:uri="urn:schemas-microsoft-com:office:smarttags">
                <w:r>
                  <w:rPr>
                    <w:sz w:val="28"/>
                  </w:rPr>
                  <w:t>University</w:t>
                </w:r>
              </w:smartTag>
              <w:r>
                <w:rPr>
                  <w:sz w:val="28"/>
                </w:rPr>
                <w:t xml:space="preserve"> of </w:t>
              </w:r>
              <w:smartTag w:element="PlaceName" w:uri="urn:schemas-microsoft-com:office:smarttags">
                <w:r>
                  <w:rPr>
                    <w:sz w:val="28"/>
                  </w:rPr>
                  <w:t>Michigan</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Jack Mustard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Brown</w:t>
                </w:r>
              </w:smartTag>
              <w:r>
                <w:rPr>
                  <w:sz w:val="28"/>
                </w:rPr>
                <w:t xml:space="preserve"> </w:t>
              </w:r>
              <w:smartTag w:element="PlaceType" w:uri="urn:schemas-microsoft-com:office:smarttags">
                <w:r>
                  <w:rPr>
                    <w:sz w:val="28"/>
                  </w:rPr>
                  <w:t>University</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 Amend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Washington</w:t>
                </w:r>
              </w:smartTag>
              <w:r>
                <w:rPr>
                  <w:sz w:val="28"/>
                </w:rPr>
                <w:t xml:space="preserve"> </w:t>
              </w:r>
              <w:smartTag w:element="PlaceType" w:uri="urn:schemas-microsoft-com:office:smarttags">
                <w:r>
                  <w:rPr>
                    <w:sz w:val="28"/>
                  </w:rPr>
                  <w:t>University</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510"/>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 Toporski</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 xml:space="preserve">Carnegie Institution of </w:t>
            </w:r>
            <w:smartTag w:element="State" w:uri="urn:schemas-microsoft-com:office:smarttags">
              <w:smartTag w:element="place" w:uri="urn:schemas-microsoft-com:office:smarttags">
                <w:r>
                  <w:rPr>
                    <w:sz w:val="28"/>
                  </w:rPr>
                  <w:t>Washington</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Janok Bhattacharya</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Type" w:uri="urn:schemas-microsoft-com:office:smarttags">
              <w:r>
                <w:rPr>
                  <w:sz w:val="28"/>
                </w:rPr>
                <w:t>Univ.</w:t>
              </w:r>
            </w:smartTag>
            <w:r>
              <w:rPr>
                <w:sz w:val="28"/>
              </w:rPr>
              <w:t xml:space="preserve"> of </w:t>
            </w:r>
            <w:smartTag w:element="PlaceName" w:uri="urn:schemas-microsoft-com:office:smarttags">
              <w:r>
                <w:rPr>
                  <w:sz w:val="28"/>
                </w:rPr>
                <w:t>Texas</w:t>
              </w:r>
            </w:smartTag>
            <w:r>
              <w:rPr>
                <w:sz w:val="28"/>
              </w:rPr>
              <w:t xml:space="preserve">, </w:t>
            </w:r>
            <w:smartTag w:element="City" w:uri="urn:schemas-microsoft-com:office:smarttags">
              <w:smartTag w:element="place" w:uri="urn:schemas-microsoft-com:office:smarttags">
                <w:r>
                  <w:rPr>
                    <w:sz w:val="28"/>
                  </w:rPr>
                  <w:t>Dallas</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Jennifer Biddle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Penn</w:t>
                </w:r>
              </w:smartTag>
              <w:r>
                <w:rPr>
                  <w:sz w:val="28"/>
                </w:rPr>
                <w:t xml:space="preserve"> </w:t>
              </w:r>
              <w:smartTag w:element="PlaceType" w:uri="urn:schemas-microsoft-com:office:smarttags">
                <w:r>
                  <w:rPr>
                    <w:sz w:val="28"/>
                  </w:rPr>
                  <w:t>State</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John Lindsay</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JSC/LPI</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Liane Benning</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Leeds</w:t>
                </w:r>
              </w:smartTag>
              <w:r>
                <w:rPr>
                  <w:sz w:val="28"/>
                </w:rPr>
                <w:t xml:space="preserve"> </w:t>
              </w:r>
              <w:smartTag w:element="PlaceType" w:uri="urn:schemas-microsoft-com:office:smarttags">
                <w:r>
                  <w:rPr>
                    <w:sz w:val="28"/>
                  </w:rPr>
                  <w:t>University</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Luther Beegle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Pan Conrad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Rocco Mancinelli</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SETI/ARC</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Sherry Cady</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Portland</w:t>
                </w:r>
              </w:smartTag>
              <w:r>
                <w:rPr>
                  <w:sz w:val="28"/>
                </w:rPr>
                <w:t xml:space="preserve"> </w:t>
              </w:r>
              <w:smartTag w:element="PlaceType" w:uri="urn:schemas-microsoft-com:office:smarttags">
                <w:r>
                  <w:rPr>
                    <w:sz w:val="28"/>
                  </w:rPr>
                  <w:t>State</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Will Brinckerhoff</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APL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7990"/>
            <w:gridSpan w:val="2"/>
            <w:tcBorders>
              <w:top w:val="nil"/>
              <w:left w:val="nil"/>
              <w:bottom w:val="nil"/>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Engineering Members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color="auto" w:space="0" w:sz="4" w:val="single"/>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Greg Mungas</w:t>
            </w:r>
          </w:p>
        </w:tc>
        <w:tc>
          <w:tcPr>
            <w:tcW w:type="dxa" w:w="4753"/>
            <w:tcBorders>
              <w:top w:color="auto" w:space="0" w:sz="4" w:val="single"/>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Knut Oxnevad</w:t>
            </w:r>
          </w:p>
        </w:tc>
        <w:tc>
          <w:tcPr>
            <w:tcW w:type="dxa" w:w="4753"/>
            <w:tcBorders>
              <w:top w:val="nil"/>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Roger Diehl</w:t>
            </w:r>
          </w:p>
        </w:tc>
        <w:tc>
          <w:tcPr>
            <w:tcW w:type="dxa" w:w="4753"/>
            <w:tcBorders>
              <w:top w:val="nil"/>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val="nil"/>
              <w:bottom w:val="nil"/>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Program</w:t>
            </w:r>
          </w:p>
        </w:tc>
        <w:tc>
          <w:tcPr>
            <w:tcW w:type="dxa" w:w="4753"/>
            <w:tcBorders>
              <w:top w:val="nil"/>
              <w:left w:val="nil"/>
              <w:bottom w:val="nil"/>
              <w:right w:val="nil"/>
            </w:tcBorders>
            <w:tcMar>
              <w:top w:type="dxa" w:w="13"/>
              <w:left w:type="dxa" w:w="13"/>
              <w:bottom w:type="dxa" w:w="0"/>
              <w:right w:type="dxa" w:w="13"/>
            </w:tcMar>
            <w:vAlign w:val="bottom"/>
          </w:tcPr>
          <w:p w:rsidR="008A3AB6" w:rsidRDefault="008A3AB6">
            <w:pPr>
              <w:rPr>
                <w:rFonts w:eastAsia="Arial Unicode MS"/>
                <w:sz w:val="28"/>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color="auto" w:space="0" w:sz="4" w:val="single"/>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David Beaty</w:t>
            </w:r>
          </w:p>
        </w:tc>
        <w:tc>
          <w:tcPr>
            <w:tcW w:type="dxa" w:w="4753"/>
            <w:tcBorders>
              <w:top w:color="auto" w:space="0" w:sz="4" w:val="single"/>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Jim Garvin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Office--HQ</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167"/>
          <w:jc w:val="center"/>
        </w:trPr>
        <w:tc>
          <w:tcPr>
            <w:tcW w:type="dxa" w:w="3237"/>
            <w:tcBorders>
              <w:top w:val="nil"/>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Marguerite Syvertson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Office--JPL</w:t>
            </w:r>
          </w:p>
        </w:tc>
      </w:tr>
    </w:tbl>
    <w:p>
      <w:r>
        <w:t>
</w:t>
        <w:t>
</w:t>
      </w: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Heading1"/>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9"/>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9"/>
        <w:jc w:val="both"/>
      </w:pPr>
    </w:p>
    <w:p>
      <w:pPr>
        <w:pStyle w:val=""/>
        <w:jc w:val="both"/>
      </w:pPr>
    </w:p>
    <w:p>
      <w:pPr>
        <w:pStyle w:val=""/>
        <w:jc w:val="both"/>
      </w:pPr>
    </w:p>
    <w:p>
      <w:pPr>
        <w:pStyle w:val=""/>
        <w:jc w:val="both"/>
      </w:pPr>
    </w:p>
    <w:p>
      <w:pPr>
        <w:pStyle w:val="Heading9"/>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1"/>
        <w:jc w:val="left"/>
      </w:pPr>
    </w:p>
    <w:p>
      <w:pPr>
        <w:pStyle w:val=""/>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
        <w:jc w:val="left"/>
      </w:pPr>
    </w:p>
    <w:p>
      <w:pPr>
        <w:pStyle w:val="Heading1"/>
        <w:jc w:val="left"/>
      </w:pPr>
    </w:p>
    <w:p>
      <w:pPr>
        <w:pStyle w:val=""/>
        <w:jc w:val="both"/>
      </w:pPr>
    </w:p>
    <w:p>
      <w:pPr>
        <w:pStyle w:val="BodyText3"/>
        <w:jc w:val="left"/>
      </w:pPr>
    </w:p>
    <w:p>
      <w:pPr>
        <w:pStyle w:val="Heading7"/>
        <w:jc w:val="both"/>
      </w:pPr>
    </w:p>
    <w:p>
      <w:pPr>
        <w:pStyle w:val=""/>
        <w:jc w:val="both"/>
      </w:pPr>
    </w:p>
    <w:p>
      <w:pPr>
        <w:pStyle w:val="Heading7"/>
        <w:jc w:val="both"/>
      </w:pPr>
    </w:p>
    <w:p>
      <w:pPr>
        <w:pStyle w:val=""/>
        <w:jc w:val="both"/>
      </w:pPr>
    </w:p>
    <w:p>
      <w:pPr>
        <w:pStyle w:val="Heading7"/>
        <w:jc w:val="both"/>
      </w:pPr>
    </w:p>
    <w:p>
      <w:pPr>
        <w:pStyle w:val=""/>
        <w:jc w:val="both"/>
      </w:pPr>
    </w:p>
    <w:p>
      <w:pPr>
        <w:pStyle w:val="Heading7"/>
        <w:jc w:val="both"/>
      </w:pPr>
    </w:p>
    <w:p>
      <w:pPr>
        <w:pStyle w:val=""/>
        <w:jc w:val="both"/>
      </w:pPr>
    </w:p>
    <w:p>
      <w:pPr>
        <w:pStyle w:val="Heading8"/>
        <w:jc w:val="left"/>
      </w:pPr>
    </w:p>
    <w:p>
      <w:pPr>
        <w:pStyle w:val=""/>
        <w:jc w:val="both"/>
      </w:pPr>
    </w:p>
    <w:p>
      <w:pPr>
        <w:pStyle w:val="Heading8"/>
        <w:jc w:val="left"/>
      </w:pPr>
    </w:p>
    <w:p>
      <w:pPr>
        <w:pStyle w:val=""/>
        <w:jc w:val="both"/>
      </w:pPr>
    </w:p>
    <w:p>
      <w:pPr>
        <w:pStyle w:val="Heading7"/>
        <w:jc w:val="both"/>
      </w:pPr>
    </w:p>
    <w:p>
      <w:pPr>
        <w:pStyle w:val=""/>
        <w:jc w:val="both"/>
      </w:pPr>
    </w:p>
    <w:p>
      <w:pPr>
        <w:pStyle w:val=""/>
        <w:jc w:val="both"/>
      </w:pPr>
    </w:p>
    <w:p>
      <w:pPr>
        <w:pStyle w:val="BodyText3"/>
        <w:jc w:val="left"/>
      </w:pPr>
    </w:p>
    <w:p>
      <w:pPr>
        <w:pStyle w:val="Heading7"/>
        <w:jc w:val="both"/>
      </w:pPr>
    </w:p>
    <w:p>
      <w:pPr>
        <w:pStyle w:val=""/>
        <w:jc w:val="both"/>
      </w:pPr>
    </w:p>
    <w:p>
      <w:pPr>
        <w:pStyle w:val="Heading7"/>
        <w:jc w:val="both"/>
      </w:pPr>
    </w:p>
    <w:p>
      <w:pPr>
        <w:pStyle w:val=""/>
        <w:jc w:val="both"/>
      </w:pPr>
    </w:p>
    <w:p>
      <w:pPr>
        <w:pStyle w:val="Heading7"/>
        <w:jc w:val="both"/>
      </w:pPr>
    </w:p>
    <w:p>
      <w:pPr>
        <w:pStyle w:val=""/>
        <w:jc w:val="both"/>
      </w:pPr>
    </w:p>
    <w:p>
      <w:pPr>
        <w:pStyle w:val="Heading7"/>
        <w:jc w:val="both"/>
      </w:pPr>
    </w:p>
    <w:p>
      <w:pPr>
        <w:pStyle w:val=""/>
        <w:jc w:val="both"/>
      </w:pPr>
    </w:p>
    <w:p>
      <w:pPr>
        <w:pStyle w:val="Heading7"/>
        <w:jc w:val="both"/>
      </w:pPr>
    </w:p>
    <w:p>
      <w:pPr>
        <w:pStyle w:val=""/>
        <w:jc w:val="both"/>
      </w:pPr>
    </w:p>
    <w:p>
      <w:pPr>
        <w:pStyle w:val="Heading1"/>
        <w:jc w:val="left"/>
      </w:pPr>
    </w:p>
    <w:p>
      <w:pPr>
        <w:pStyle w:val="Header"/>
        <w:jc w:val="both"/>
      </w:pPr>
    </w:p>
    <w:p>
      <w:pPr>
        <w:pStyle w:val=""/>
        <w:jc w:val="both"/>
      </w:pPr>
    </w:p>
    <w:p>
      <w:pPr>
        <w:pStyle w:val=""/>
        <w:jc w:val="both"/>
      </w:pPr>
    </w:p>
    <w:p>
      <w:pPr>
        <w:pStyle w:val="Heading1"/>
        <w:jc w:val="left"/>
      </w:pPr>
    </w:p>
    <w:p>
      <w:pPr>
        <w:pStyle w:val="Heading2"/>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TableofFigures"/>
        <w:jc w:val="left"/>
      </w:pPr>
    </w:p>
    <w:p>
      <w:pPr>
        <w:jc w:val="center"/>
      </w:pPr>
    </w:p>
    <w:p>
      <w:r>
        <w:drawing>
          <wp:inline distT="0" distB="0" distL="0" distR="0">
            <wp:extent cx="5476875" cy="3267075"/>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5476875" cy="3267075"/>
                    </a:xfrm>
                    <a:prstGeom prst="rect">
                      <a:avLst/>
                    </a:prstGeom>
                  </pic:spPr>
                </pic:pic>
              </a:graphicData>
            </a:graphic>
          </wp:inline>
        </w:drawing>
      </w: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BodyText3"/>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2"/>
        <w:jc w:val="left"/>
      </w:pPr>
    </w:p>
    <w:p>
      <w:pPr>
        <w:pStyle w:val=""/>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3"/>
        <w:jc w:val="left"/>
      </w:pPr>
    </w:p>
    <w:p>
      <w:pPr>
        <w:pStyle w:val=""/>
        <w:jc w:val="both"/>
      </w:pPr>
    </w:p>
    <w:p>
      <w:pPr>
        <w:pStyle w:val=""/>
        <w:jc w:val="both"/>
      </w:pPr>
    </w:p>
    <w:p>
      <w:pPr>
        <w:pStyle w:val=""/>
        <w:jc w:val="both"/>
      </w:pPr>
    </w:p>
    <w:p>
      <w:pPr>
        <w:pStyle w:val="Heading3"/>
        <w:jc w:val="left"/>
      </w:pPr>
    </w:p>
    <w:p>
      <w:pPr>
        <w:pStyle w:val=""/>
        <w:jc w:val="both"/>
      </w:pPr>
    </w:p>
    <w:p>
      <w:pPr>
        <w:pStyle w:val=""/>
        <w:jc w:val="both"/>
      </w:pPr>
    </w:p>
    <w:p>
      <w:pPr>
        <w:pStyle w:val="TableofFigures"/>
        <w:jc w:val="left"/>
      </w:pPr>
    </w:p>
    <w:p>
      <w:pPr>
        <w:pStyle w:val=""/>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BodyText"/>
        <w:jc w:val="both"/>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23"/>
        </w:trPr>
        <w:tc>
          <w:tcPr>
            <w:tcW w:type="dxa" w:w="2410"/>
          </w:tcPr>
          <w:p w:rsidR="008A3AB6" w:rsidRDefault="008A3AB6">
            <w:pPr>
              <w:keepNext/>
              <w:keepLines/>
              <w:jc w:val="both"/>
              <w:rPr>
                <w:b/>
                <w:sz w:val="16"/>
              </w:rPr>
            </w:pPr>
            <w:r>
              <w:rPr>
                <w:b/>
                <w:sz w:val="16"/>
              </w:rPr>
              <w:t>Source of Carbon</w:t>
            </w:r>
          </w:p>
        </w:tc>
        <w:tc>
          <w:tcPr>
            <w:tcW w:type="dxa" w:w="6338"/>
          </w:tcPr>
          <w:p w:rsidR="008A3AB6" w:rsidRDefault="008A3AB6">
            <w:pPr>
              <w:keepNext/>
              <w:keepLines/>
              <w:jc w:val="both"/>
              <w:rPr>
                <w:b/>
                <w:sz w:val="16"/>
                <w:lang w:val="fr-FR"/>
              </w:rPr>
            </w:pPr>
            <w:r>
              <w:rPr>
                <w:b/>
                <w:sz w:val="16"/>
                <w:lang w:val="fr-FR"/>
              </w:rPr>
              <w:t>Carbon compounds. examples/comments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Abiotic molecules from meteoritic / cometary influx</w:t>
            </w:r>
          </w:p>
        </w:tc>
        <w:tc>
          <w:tcPr>
            <w:tcW w:type="dxa" w:w="6338"/>
          </w:tcPr>
          <w:p w:rsidR="008A3AB6" w:rsidRDefault="008A3AB6">
            <w:pPr>
              <w:keepNext/>
              <w:keepLines/>
              <w:jc w:val="both"/>
              <w:rPr>
                <w:sz w:val="16"/>
              </w:rPr>
            </w:pPr>
            <w:r>
              <w:rPr>
                <w:sz w:val="16"/>
              </w:rPr>
              <w:t>Amino acids, purines and pyrimidines, polycyclic aromatic hydrocarbons, chain hydrocarbons, fatty acids, sugars and sugar derivatives.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Prebiotic/abiotic molecules from synthesis reaction process on Mars</w:t>
            </w:r>
          </w:p>
        </w:tc>
        <w:tc>
          <w:tcPr>
            <w:tcW w:type="dxa" w:w="6338"/>
          </w:tcPr>
          <w:p w:rsidR="008A3AB6" w:rsidRDefault="008A3AB6">
            <w:pPr>
              <w:keepNext/>
              <w:keepLines/>
              <w:jc w:val="both"/>
              <w:rPr>
                <w:sz w:val="16"/>
              </w:rPr>
            </w:pPr>
            <w:r>
              <w:rPr>
                <w:sz w:val="16"/>
              </w:rPr>
              <w:t>Amino acids, purines and pyrimidines, polycyclic aromatic hydrocarbons, chain hydrocarbons, fatty acids, sugars and sugar derivatives.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contaminating organics</w:t>
            </w:r>
          </w:p>
        </w:tc>
        <w:tc>
          <w:tcPr>
            <w:tcW w:type="dxa" w:w="6338"/>
          </w:tcPr>
          <w:p w:rsidR="008A3AB6" w:rsidRDefault="008A3AB6">
            <w:pPr>
              <w:keepNext/>
              <w:keepLines/>
              <w:jc w:val="both"/>
              <w:rPr>
                <w:sz w:val="16"/>
              </w:rPr>
            </w:pPr>
            <w:r>
              <w:rPr>
                <w:sz w:val="16"/>
              </w:rPr>
              <w:t>Condensation products derived from rocket exhaust, lubricants, plasticizers, atmospheric contaminants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contaminating organisms</w:t>
            </w:r>
          </w:p>
        </w:tc>
        <w:tc>
          <w:tcPr>
            <w:tcW w:type="dxa" w:w="6338"/>
          </w:tcPr>
          <w:p w:rsidR="008A3AB6" w:rsidRDefault="008A3AB6">
            <w:pPr>
              <w:keepNext/>
              <w:keepLines/>
              <w:jc w:val="both"/>
              <w:rPr>
                <w:sz w:val="16"/>
              </w:rPr>
            </w:pPr>
            <w:r>
              <w:rPr>
                <w:sz w:val="16"/>
              </w:rPr>
              <w:t>Whole cells, cell components (LPS, DNA, proteins, cytochromes) found on AFL itself.</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like organisms – from Earth</w:t>
            </w:r>
          </w:p>
        </w:tc>
        <w:tc>
          <w:tcPr>
            <w:tcW w:type="dxa" w:w="6338"/>
          </w:tcPr>
          <w:p w:rsidR="008A3AB6" w:rsidRDefault="008A3AB6">
            <w:pPr>
              <w:keepNext/>
              <w:keepLines/>
              <w:jc w:val="both"/>
              <w:rPr>
                <w:sz w:val="16"/>
              </w:rPr>
            </w:pPr>
            <w:r>
              <w:rPr>
                <w:sz w:val="16"/>
              </w:rPr>
              <w:t>Organisms not present on the craft measuring them, but had been previously transferred from Earth by either meteorite impact or contamination of previous spacecraft. Target molecules could include individual genes, membrane constituents, specific enzymes, and co-enzymes that would be expected to be over expressed or adapted in Martian conditions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Terrestrial-like organisms – evolved on Mars</w:t>
            </w:r>
          </w:p>
        </w:tc>
        <w:tc>
          <w:tcPr>
            <w:tcW w:type="dxa" w:w="6338"/>
          </w:tcPr>
          <w:p w:rsidR="008A3AB6" w:rsidRDefault="008A3AB6">
            <w:pPr>
              <w:keepNext/>
              <w:keepLines/>
              <w:jc w:val="both"/>
              <w:rPr>
                <w:sz w:val="16"/>
              </w:rPr>
            </w:pPr>
            <w:r>
              <w:rPr>
                <w:sz w:val="16"/>
              </w:rPr>
              <w:t xml:space="preserve">Organisms that utilize terrestrial like biochemistries and have evolved on Mars Target molecules could include individual genes, membrane constituents, specific enzymes, and co-enzymes that would be expected to be over expressed or adapted in Martian conditions or organisms using metabolisms that would not be present on a space craft contaminant such as methanogens, psychrophiles endolithic survival mechanisms.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Non-terrestrial-like organisms</w:t>
            </w:r>
          </w:p>
        </w:tc>
        <w:tc>
          <w:tcPr>
            <w:tcW w:type="dxa" w:w="6338"/>
          </w:tcPr>
          <w:p w:rsidR="008A3AB6" w:rsidRDefault="008A3AB6">
            <w:pPr>
              <w:keepNext/>
              <w:keepLines/>
              <w:jc w:val="both"/>
              <w:rPr>
                <w:sz w:val="16"/>
              </w:rPr>
            </w:pPr>
            <w:r>
              <w:rPr>
                <w:sz w:val="16"/>
              </w:rPr>
              <w:t xml:space="preserve">Utilizes an array of molecules for information storage, information transfer, compartmentalization and enzymatic activity that differ from those used by extant terrestrial life.  Examples would be the use of novel amino acids and nucleotides or the use of novel nitrogen utilization strategies.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Fossil biomarkers</w:t>
            </w:r>
          </w:p>
        </w:tc>
        <w:tc>
          <w:tcPr>
            <w:tcW w:type="dxa" w:w="6338"/>
          </w:tcPr>
          <w:p w:rsidR="008A3AB6" w:rsidRDefault="008A3AB6">
            <w:pPr>
              <w:keepNext/>
              <w:keepLines/>
              <w:jc w:val="both"/>
              <w:rPr>
                <w:sz w:val="16"/>
              </w:rPr>
            </w:pPr>
            <w:r>
              <w:rPr>
                <w:sz w:val="16"/>
              </w:rPr>
              <w:t>Detection of established terrestrial fossil biomarkers such as hopanes, archaeal lipids and steranes, for the detection of the diagenetic remains of terrestrial based life. Characterization of potential breakdown products that can be reasonably extrapolated from the detection of molecules comprising an extant Martian life form. Detection of the diagenesis products of extinct Martian organism based on carbon compositions consistent with biological fractionation of a narrow range of abiotic precursors.</w:t>
            </w:r>
          </w:p>
        </w:tc>
      </w:tr>
    </w:tbl>
    <w:p>
      <w:r>
        <w:t>
</w:t>
        <w:t>
</w:t>
      </w:r>
    </w:p>
    <w:p>
      <w:pPr>
        <w:pStyle w:val=""/>
        <w:jc w:val="left"/>
      </w:pPr>
    </w:p>
    <w:p>
      <w:pPr>
        <w:pStyle w:val="Heading4"/>
        <w:jc w:val="left"/>
      </w:pPr>
    </w:p>
    <w:p>
      <w:pPr>
        <w:pStyle w:val=""/>
        <w:jc w:val="both"/>
      </w:pPr>
    </w:p>
    <w:p>
      <w:pPr>
        <w:pStyle w:val=""/>
        <w:jc w:val="both"/>
      </w:pPr>
    </w:p>
    <w:p>
      <w:pPr>
        <w:pStyle w:val="Heading4"/>
        <w:jc w:val="left"/>
      </w:pPr>
    </w:p>
    <w:p>
      <w:pPr>
        <w:pStyle w:val=""/>
        <w:jc w:val="both"/>
      </w:pPr>
    </w:p>
    <w:p>
      <w:pPr>
        <w:pStyle w:val=""/>
        <w:jc w:val="both"/>
      </w:pPr>
    </w:p>
    <w:p>
      <w:pPr>
        <w:pStyle w:val=""/>
        <w:jc w:val="both"/>
      </w:pPr>
    </w:p>
    <w:p>
      <w:pPr>
        <w:pStyle w:val=""/>
        <w:jc w:val="both"/>
      </w:pPr>
    </w:p>
    <w:p>
      <w:pPr>
        <w:pStyle w:val="Heading2"/>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1"/>
        <w:jc w:val="left"/>
      </w:pPr>
    </w:p>
    <w:p>
      <w:pPr>
        <w:pStyle w:val=""/>
        <w:jc w:val="both"/>
      </w:pPr>
    </w:p>
    <w:p>
      <w:pPr>
        <w:pStyle w:val="Heading8"/>
        <w:jc w:val="left"/>
      </w:pPr>
    </w:p>
    <w:p>
      <w:pPr>
        <w:pStyle w:val=""/>
        <w:jc w:val="both"/>
      </w:pPr>
    </w:p>
    <w:p>
      <w:pPr>
        <w:pStyle w:val="Heading8"/>
        <w:jc w:val="left"/>
      </w:pPr>
    </w:p>
    <w:p>
      <w:pPr>
        <w:pStyle w:val=""/>
        <w:jc w:val="both"/>
      </w:pPr>
    </w:p>
    <w:p>
      <w:pPr>
        <w:pStyle w:val=""/>
        <w:jc w:val="both"/>
      </w:pPr>
    </w:p>
    <w:p>
      <w:pPr>
        <w:pStyle w:val="Caption"/>
        <w:jc w:val="left"/>
      </w:pPr>
    </w:p>
    <w:tbl>
      <w:tblPr>
        <w:tblStyle w:val=""/>
        <w:tblStyleRowBandSize w:val="0"/>
        <w:tblStyleColBandSize w:val="0"/>
        <w:tblW w:w="8872"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jc w:val="center"/>
              <w:rPr>
                <w:b/>
                <w:sz w:val="16"/>
              </w:rPr>
            </w:pPr>
            <w:r>
              <w:rPr>
                <w:b/>
                <w:sz w:val="16"/>
              </w:rPr>
              <w:t>Component</w:t>
            </w:r>
          </w:p>
        </w:tc>
        <w:tc>
          <w:tcPr>
            <w:tcW w:type="dxa" w:w="1710"/>
          </w:tcPr>
          <w:p w:rsidR="008A3AB6" w:rsidRDefault="008A3AB6">
            <w:pPr>
              <w:jc w:val="center"/>
              <w:rPr>
                <w:b/>
                <w:sz w:val="16"/>
              </w:rPr>
            </w:pPr>
            <w:r>
              <w:rPr>
                <w:b/>
                <w:sz w:val="16"/>
              </w:rPr>
              <w:t>% Total Weight (or mass C x10</w:t>
            </w:r>
            <w:r>
              <w:rPr>
                <w:b/>
                <w:sz w:val="16"/>
                <w:vertAlign w:val="superscript"/>
              </w:rPr>
              <w:t>-13</w:t>
            </w:r>
            <w:r>
              <w:rPr>
                <w:b/>
                <w:sz w:val="16"/>
              </w:rPr>
              <w:t xml:space="preserve"> g)</w:t>
            </w:r>
          </w:p>
        </w:tc>
        <w:tc>
          <w:tcPr>
            <w:tcW w:type="dxa" w:w="1710"/>
          </w:tcPr>
          <w:p w:rsidR="008A3AB6" w:rsidRDefault="008A3AB6">
            <w:pPr>
              <w:jc w:val="center"/>
              <w:rPr>
                <w:b/>
                <w:sz w:val="16"/>
              </w:rPr>
            </w:pPr>
            <w:r>
              <w:rPr>
                <w:b/>
                <w:sz w:val="16"/>
              </w:rPr>
              <w:t>Number of Types</w:t>
            </w:r>
          </w:p>
        </w:tc>
        <w:tc>
          <w:tcPr>
            <w:tcW w:type="dxa" w:w="3544"/>
          </w:tcPr>
          <w:p w:rsidR="008A3AB6" w:rsidRDefault="008A3AB6">
            <w:pPr>
              <w:jc w:val="center"/>
              <w:rPr>
                <w:b/>
                <w:sz w:val="16"/>
              </w:rPr>
            </w:pPr>
            <w:r>
              <w:rPr>
                <w:b/>
                <w:sz w:val="16"/>
              </w:rPr>
              <w:t>Preservation</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pStyle w:val="HTMLBody"/>
              <w:rPr>
                <w:rFonts w:ascii="Times New Roman" w:hAnsi="Times New Roman"/>
                <w:b/>
                <w:snapToGrid/>
                <w:sz w:val="16"/>
              </w:rPr>
            </w:pPr>
            <w:r>
              <w:rPr>
                <w:rFonts w:ascii="Times New Roman" w:hAnsi="Times New Roman"/>
                <w:b/>
                <w:snapToGrid/>
                <w:sz w:val="16"/>
              </w:rPr>
              <w:t>Water</w:t>
            </w:r>
          </w:p>
        </w:tc>
        <w:tc>
          <w:tcPr>
            <w:tcW w:type="dxa" w:w="1710"/>
          </w:tcPr>
          <w:p w:rsidR="008A3AB6" w:rsidRDefault="008A3AB6">
            <w:pPr>
              <w:jc w:val="center"/>
              <w:rPr>
                <w:sz w:val="16"/>
              </w:rPr>
            </w:pPr>
            <w:r>
              <w:rPr>
                <w:sz w:val="16"/>
              </w:rPr>
              <w:t>70 (NA)</w:t>
            </w:r>
          </w:p>
        </w:tc>
        <w:tc>
          <w:tcPr>
            <w:tcW w:type="dxa" w:w="1710"/>
          </w:tcPr>
          <w:p w:rsidR="008A3AB6" w:rsidRDefault="008A3AB6">
            <w:pPr>
              <w:jc w:val="center"/>
              <w:rPr>
                <w:sz w:val="16"/>
              </w:rPr>
            </w:pPr>
            <w:r>
              <w:rPr>
                <w:sz w:val="16"/>
              </w:rPr>
              <w:t>1</w:t>
            </w:r>
          </w:p>
        </w:tc>
        <w:tc>
          <w:tcPr>
            <w:tcW w:type="dxa" w:w="3544"/>
          </w:tcPr>
          <w:p w:rsidR="008A3AB6" w:rsidRDefault="008A3AB6">
            <w:pPr>
              <w:pStyle w:val="HTMLBody"/>
              <w:rPr>
                <w:rFonts w:ascii="Times New Roman" w:hAnsi="Times New Roman"/>
                <w:snapToGrid/>
                <w:sz w:val="16"/>
              </w:rPr>
            </w:pPr>
            <w:r>
              <w:rPr>
                <w:rFonts w:ascii="Times New Roman" w:hAnsi="Times New Roman"/>
                <w:snapToGrid/>
                <w:sz w:val="16"/>
              </w:rPr>
              <w:t>Unknown in Organic and mineral phases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Proteins</w:t>
            </w:r>
          </w:p>
        </w:tc>
        <w:tc>
          <w:tcPr>
            <w:tcW w:type="dxa" w:w="1710"/>
          </w:tcPr>
          <w:p w:rsidR="008A3AB6" w:rsidRDefault="008A3AB6">
            <w:pPr>
              <w:jc w:val="center"/>
              <w:rPr>
                <w:sz w:val="16"/>
              </w:rPr>
            </w:pPr>
            <w:r>
              <w:rPr>
                <w:sz w:val="16"/>
              </w:rPr>
              <w:t xml:space="preserve">15 </w:t>
            </w:r>
          </w:p>
        </w:tc>
        <w:tc>
          <w:tcPr>
            <w:tcW w:type="dxa" w:w="1710"/>
          </w:tcPr>
          <w:p w:rsidR="008A3AB6" w:rsidRDefault="008A3AB6">
            <w:pPr>
              <w:jc w:val="center"/>
              <w:rPr>
                <w:sz w:val="16"/>
              </w:rPr>
            </w:pPr>
            <w:r>
              <w:rPr>
                <w:sz w:val="16"/>
              </w:rPr>
              <w:t>~2000</w:t>
            </w:r>
          </w:p>
        </w:tc>
        <w:tc>
          <w:tcPr>
            <w:tcW w:type="dxa" w:w="3544"/>
          </w:tcPr>
          <w:p w:rsidR="008A3AB6" w:rsidRDefault="008A3AB6">
            <w:pPr>
              <w:rPr>
                <w:sz w:val="16"/>
              </w:rPr>
            </w:pPr>
            <w:r>
              <w:rPr>
                <w:sz w:val="16"/>
              </w:rPr>
              <w:t>1000’s without protection by a mineral matrix. ~45Ma with protection?.</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Nucleic Acids</w:t>
            </w:r>
          </w:p>
        </w:tc>
        <w:tc>
          <w:tcPr>
            <w:tcW w:type="dxa" w:w="1710"/>
          </w:tcPr>
          <w:p w:rsidR="008A3AB6" w:rsidRDefault="008A3AB6">
            <w:pPr>
              <w:jc w:val="center"/>
              <w:rPr>
                <w:sz w:val="16"/>
              </w:rPr>
            </w:pPr>
          </w:p>
        </w:tc>
        <w:tc>
          <w:tcPr>
            <w:tcW w:type="dxa" w:w="1710"/>
          </w:tcPr>
          <w:p w:rsidR="008A3AB6" w:rsidRDefault="008A3AB6">
            <w:pPr>
              <w:jc w:val="center"/>
              <w:rPr>
                <w:sz w:val="16"/>
              </w:rPr>
            </w:pPr>
          </w:p>
        </w:tc>
        <w:tc>
          <w:tcPr>
            <w:tcW w:type="dxa" w:w="3544"/>
          </w:tcPr>
          <w:p w:rsidR="008A3AB6" w:rsidRDefault="008A3AB6">
            <w:pPr>
              <w:rPr>
                <w:sz w:val="16"/>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sz w:val="16"/>
              </w:rPr>
            </w:pPr>
            <w:r>
              <w:rPr>
                <w:sz w:val="16"/>
              </w:rPr>
              <w:t xml:space="preserve">     DNA</w:t>
            </w:r>
          </w:p>
        </w:tc>
        <w:tc>
          <w:tcPr>
            <w:tcW w:type="dxa" w:w="1710"/>
          </w:tcPr>
          <w:p w:rsidR="008A3AB6" w:rsidRDefault="008A3AB6">
            <w:pPr>
              <w:jc w:val="center"/>
              <w:rPr>
                <w:sz w:val="16"/>
              </w:rPr>
            </w:pPr>
            <w:r>
              <w:rPr>
                <w:sz w:val="16"/>
              </w:rPr>
              <w:t>1</w:t>
            </w:r>
          </w:p>
        </w:tc>
        <w:tc>
          <w:tcPr>
            <w:tcW w:type="dxa" w:w="1710"/>
          </w:tcPr>
          <w:p w:rsidR="008A3AB6" w:rsidRDefault="008A3AB6">
            <w:pPr>
              <w:jc w:val="center"/>
              <w:rPr>
                <w:sz w:val="16"/>
              </w:rPr>
            </w:pPr>
            <w:r>
              <w:rPr>
                <w:sz w:val="16"/>
              </w:rPr>
              <w:t>2+</w:t>
            </w:r>
          </w:p>
        </w:tc>
        <w:tc>
          <w:tcPr>
            <w:tcW w:type="dxa" w:w="3544"/>
          </w:tcPr>
          <w:p w:rsidR="008A3AB6" w:rsidRDefault="008A3AB6">
            <w:pPr>
              <w:rPr>
                <w:sz w:val="16"/>
              </w:rPr>
            </w:pPr>
            <w:r>
              <w:rPr>
                <w:sz w:val="16"/>
              </w:rPr>
              <w:t>Oldest ? ~350,000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sz w:val="16"/>
              </w:rPr>
            </w:pPr>
            <w:r>
              <w:rPr>
                <w:sz w:val="16"/>
              </w:rPr>
              <w:t xml:space="preserve">     RNA</w:t>
            </w:r>
          </w:p>
        </w:tc>
        <w:tc>
          <w:tcPr>
            <w:tcW w:type="dxa" w:w="1710"/>
          </w:tcPr>
          <w:p w:rsidR="008A3AB6" w:rsidRDefault="008A3AB6">
            <w:pPr>
              <w:jc w:val="center"/>
              <w:rPr>
                <w:sz w:val="16"/>
              </w:rPr>
            </w:pPr>
            <w:r>
              <w:rPr>
                <w:sz w:val="16"/>
              </w:rPr>
              <w:t>6</w:t>
            </w:r>
          </w:p>
        </w:tc>
        <w:tc>
          <w:tcPr>
            <w:tcW w:type="dxa" w:w="1710"/>
          </w:tcPr>
          <w:p w:rsidR="008A3AB6" w:rsidRDefault="008A3AB6">
            <w:pPr>
              <w:jc w:val="center"/>
              <w:rPr>
                <w:sz w:val="16"/>
              </w:rPr>
            </w:pPr>
            <w:r>
              <w:rPr>
                <w:sz w:val="16"/>
              </w:rPr>
              <w:t>(see below)</w:t>
            </w:r>
          </w:p>
        </w:tc>
        <w:tc>
          <w:tcPr>
            <w:tcW w:type="dxa" w:w="3544"/>
          </w:tcPr>
          <w:p w:rsidR="008A3AB6" w:rsidRDefault="008A3AB6">
            <w:pPr>
              <w:rPr>
                <w:sz w:val="16"/>
              </w:rPr>
            </w:pPr>
            <w:r>
              <w:rPr>
                <w:sz w:val="16"/>
              </w:rPr>
              <w:t>Days – Months (studies on longevity of RNA other than in clinical settings have not been performed.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rRNA</w:t>
            </w:r>
          </w:p>
        </w:tc>
        <w:tc>
          <w:tcPr>
            <w:tcW w:type="dxa" w:w="1710"/>
          </w:tcPr>
          <w:p w:rsidR="008A3AB6" w:rsidRDefault="008A3AB6">
            <w:pPr>
              <w:jc w:val="center"/>
              <w:rPr>
                <w:sz w:val="16"/>
              </w:rPr>
            </w:pPr>
            <w:r>
              <w:rPr>
                <w:sz w:val="16"/>
              </w:rPr>
              <w:t>5.5</w:t>
            </w:r>
          </w:p>
        </w:tc>
        <w:tc>
          <w:tcPr>
            <w:tcW w:type="dxa" w:w="1710"/>
          </w:tcPr>
          <w:p w:rsidR="008A3AB6" w:rsidRDefault="008A3AB6">
            <w:pPr>
              <w:jc w:val="center"/>
              <w:rPr>
                <w:sz w:val="16"/>
              </w:rPr>
            </w:pPr>
            <w:r>
              <w:rPr>
                <w:sz w:val="16"/>
              </w:rPr>
              <w:t>3</w:t>
            </w:r>
          </w:p>
        </w:tc>
        <w:tc>
          <w:tcPr>
            <w:tcW w:type="dxa" w:w="3544"/>
          </w:tcPr>
          <w:p w:rsidR="008A3AB6" w:rsidRDefault="008A3AB6">
            <w:pPr>
              <w:rPr>
                <w:sz w:val="16"/>
              </w:rPr>
            </w:pPr>
            <w:r>
              <w:rPr>
                <w:sz w:val="16"/>
              </w:rPr>
              <w:t>Days – Months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tRNA</w:t>
            </w:r>
          </w:p>
        </w:tc>
        <w:tc>
          <w:tcPr>
            <w:tcW w:type="dxa" w:w="1710"/>
          </w:tcPr>
          <w:p w:rsidR="008A3AB6" w:rsidRDefault="008A3AB6">
            <w:pPr>
              <w:jc w:val="center"/>
              <w:rPr>
                <w:sz w:val="16"/>
              </w:rPr>
            </w:pPr>
            <w:r>
              <w:rPr>
                <w:sz w:val="16"/>
              </w:rPr>
              <w:t>0.1</w:t>
            </w:r>
          </w:p>
        </w:tc>
        <w:tc>
          <w:tcPr>
            <w:tcW w:type="dxa" w:w="1710"/>
          </w:tcPr>
          <w:p w:rsidR="008A3AB6" w:rsidRDefault="008A3AB6">
            <w:pPr>
              <w:jc w:val="center"/>
              <w:rPr>
                <w:sz w:val="16"/>
              </w:rPr>
            </w:pPr>
            <w:r>
              <w:rPr>
                <w:sz w:val="16"/>
              </w:rPr>
              <w:t>~32</w:t>
            </w:r>
          </w:p>
        </w:tc>
        <w:tc>
          <w:tcPr>
            <w:tcW w:type="dxa" w:w="3544"/>
          </w:tcPr>
          <w:p w:rsidR="008A3AB6" w:rsidRDefault="008A3AB6">
            <w:pPr>
              <w:rPr>
                <w:sz w:val="16"/>
              </w:rPr>
            </w:pPr>
            <w:r>
              <w:rPr>
                <w:sz w:val="16"/>
              </w:rPr>
              <w:t>Days – Months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mRNA</w:t>
            </w:r>
          </w:p>
        </w:tc>
        <w:tc>
          <w:tcPr>
            <w:tcW w:type="dxa" w:w="1710"/>
          </w:tcPr>
          <w:p w:rsidR="008A3AB6" w:rsidRDefault="008A3AB6">
            <w:pPr>
              <w:jc w:val="center"/>
              <w:rPr>
                <w:sz w:val="16"/>
              </w:rPr>
            </w:pPr>
            <w:r>
              <w:rPr>
                <w:sz w:val="16"/>
              </w:rPr>
              <w:t>0.3</w:t>
            </w:r>
          </w:p>
        </w:tc>
        <w:tc>
          <w:tcPr>
            <w:tcW w:type="dxa" w:w="1710"/>
          </w:tcPr>
          <w:p w:rsidR="008A3AB6" w:rsidRDefault="008A3AB6">
            <w:pPr>
              <w:jc w:val="center"/>
              <w:rPr>
                <w:sz w:val="16"/>
              </w:rPr>
            </w:pPr>
            <w:r>
              <w:rPr>
                <w:sz w:val="16"/>
              </w:rPr>
              <w:t>1000’s</w:t>
            </w:r>
          </w:p>
        </w:tc>
        <w:tc>
          <w:tcPr>
            <w:tcW w:type="dxa" w:w="3544"/>
          </w:tcPr>
          <w:p w:rsidR="008A3AB6" w:rsidRDefault="008A3AB6">
            <w:pPr>
              <w:rPr>
                <w:sz w:val="16"/>
              </w:rPr>
            </w:pPr>
            <w:r>
              <w:rPr>
                <w:sz w:val="16"/>
              </w:rPr>
              <w:t>Days – Months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Non coding RNA</w:t>
            </w:r>
          </w:p>
        </w:tc>
        <w:tc>
          <w:tcPr>
            <w:tcW w:type="dxa" w:w="1710"/>
          </w:tcPr>
          <w:p w:rsidR="008A3AB6" w:rsidRDefault="008A3AB6">
            <w:pPr>
              <w:jc w:val="center"/>
              <w:rPr>
                <w:sz w:val="16"/>
              </w:rPr>
            </w:pPr>
            <w:r>
              <w:rPr>
                <w:sz w:val="16"/>
              </w:rPr>
              <w:t>0.1</w:t>
            </w:r>
          </w:p>
        </w:tc>
        <w:tc>
          <w:tcPr>
            <w:tcW w:type="dxa" w:w="1710"/>
          </w:tcPr>
          <w:p w:rsidR="008A3AB6" w:rsidRDefault="008A3AB6">
            <w:pPr>
              <w:jc w:val="center"/>
              <w:rPr>
                <w:sz w:val="16"/>
              </w:rPr>
            </w:pPr>
            <w:r>
              <w:rPr>
                <w:sz w:val="16"/>
              </w:rPr>
              <w:t>1000’s</w:t>
            </w:r>
          </w:p>
        </w:tc>
        <w:tc>
          <w:tcPr>
            <w:tcW w:type="dxa" w:w="3544"/>
          </w:tcPr>
          <w:p w:rsidR="008A3AB6" w:rsidRDefault="008A3AB6">
            <w:pPr>
              <w:rPr>
                <w:sz w:val="16"/>
              </w:rPr>
            </w:pPr>
            <w:r>
              <w:rPr>
                <w:sz w:val="16"/>
              </w:rPr>
              <w:t>Days – Months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Polysaccharides</w:t>
            </w:r>
          </w:p>
        </w:tc>
        <w:tc>
          <w:tcPr>
            <w:tcW w:type="dxa" w:w="1710"/>
          </w:tcPr>
          <w:p w:rsidR="008A3AB6" w:rsidRDefault="008A3AB6">
            <w:pPr>
              <w:jc w:val="center"/>
              <w:rPr>
                <w:sz w:val="16"/>
              </w:rPr>
            </w:pPr>
            <w:r>
              <w:rPr>
                <w:sz w:val="16"/>
              </w:rPr>
              <w:t>~1</w:t>
            </w:r>
          </w:p>
        </w:tc>
        <w:tc>
          <w:tcPr>
            <w:tcW w:type="dxa" w:w="1710"/>
          </w:tcPr>
          <w:p w:rsidR="008A3AB6" w:rsidRDefault="008A3AB6">
            <w:pPr>
              <w:jc w:val="center"/>
              <w:rPr>
                <w:sz w:val="16"/>
              </w:rPr>
            </w:pPr>
            <w:r>
              <w:rPr>
                <w:sz w:val="16"/>
              </w:rPr>
              <w:t>Uncounted</w:t>
            </w:r>
          </w:p>
        </w:tc>
        <w:tc>
          <w:tcPr>
            <w:tcW w:type="dxa" w:w="3544"/>
          </w:tcPr>
          <w:p w:rsidR="008A3AB6" w:rsidRDefault="008A3AB6">
            <w:pPr>
              <w:rPr>
                <w:sz w:val="16"/>
              </w:rPr>
            </w:pPr>
            <w:r>
              <w:rPr>
                <w:sz w:val="16"/>
              </w:rPr>
              <w:t>Chitin - 25Ma. Exopolymer sheaths ~2Ga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Lipids</w:t>
            </w:r>
          </w:p>
        </w:tc>
        <w:tc>
          <w:tcPr>
            <w:tcW w:type="dxa" w:w="1710"/>
          </w:tcPr>
          <w:p w:rsidR="008A3AB6" w:rsidRDefault="008A3AB6">
            <w:pPr>
              <w:jc w:val="center"/>
              <w:rPr>
                <w:sz w:val="16"/>
              </w:rPr>
            </w:pPr>
            <w:r>
              <w:rPr>
                <w:sz w:val="16"/>
              </w:rPr>
              <w:t>2</w:t>
            </w:r>
          </w:p>
        </w:tc>
        <w:tc>
          <w:tcPr>
            <w:tcW w:type="dxa" w:w="1710"/>
          </w:tcPr>
          <w:p w:rsidR="008A3AB6" w:rsidRDefault="008A3AB6">
            <w:pPr>
              <w:jc w:val="center"/>
              <w:rPr>
                <w:sz w:val="16"/>
              </w:rPr>
            </w:pPr>
            <w:r>
              <w:rPr>
                <w:sz w:val="16"/>
              </w:rPr>
              <w:t>~50</w:t>
            </w:r>
          </w:p>
        </w:tc>
        <w:tc>
          <w:tcPr>
            <w:tcW w:type="dxa" w:w="3544"/>
          </w:tcPr>
          <w:p w:rsidR="008A3AB6" w:rsidRDefault="008A3AB6">
            <w:pPr>
              <w:rPr>
                <w:sz w:val="16"/>
              </w:rPr>
            </w:pPr>
            <w:r>
              <w:rPr>
                <w:sz w:val="16"/>
              </w:rPr>
              <w:t>Cell wall components - Hopanes 2.7Ga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Amino acids</w:t>
            </w:r>
          </w:p>
        </w:tc>
        <w:tc>
          <w:tcPr>
            <w:tcW w:type="dxa" w:w="1710"/>
          </w:tcPr>
          <w:p w:rsidR="008A3AB6" w:rsidRDefault="008A3AB6">
            <w:pPr>
              <w:jc w:val="center"/>
              <w:rPr>
                <w:sz w:val="16"/>
              </w:rPr>
            </w:pPr>
            <w:r>
              <w:rPr>
                <w:sz w:val="16"/>
              </w:rPr>
              <w:t>0.4</w:t>
            </w:r>
          </w:p>
        </w:tc>
        <w:tc>
          <w:tcPr>
            <w:tcW w:type="dxa" w:w="1710"/>
          </w:tcPr>
          <w:p w:rsidR="008A3AB6" w:rsidRDefault="008A3AB6">
            <w:pPr>
              <w:jc w:val="center"/>
              <w:rPr>
                <w:sz w:val="16"/>
              </w:rPr>
            </w:pPr>
            <w:r>
              <w:rPr>
                <w:sz w:val="16"/>
              </w:rPr>
              <w:t xml:space="preserve">~100 (20 main ones) </w:t>
            </w:r>
          </w:p>
        </w:tc>
        <w:tc>
          <w:tcPr>
            <w:tcW w:type="dxa" w:w="3544"/>
          </w:tcPr>
          <w:p w:rsidR="008A3AB6" w:rsidRDefault="008A3AB6">
            <w:pPr>
              <w:rPr>
                <w:sz w:val="16"/>
              </w:rPr>
            </w:pPr>
            <w:r>
              <w:rPr>
                <w:sz w:val="16"/>
              </w:rPr>
              <w:t xml:space="preserve">As protein diagenesis – Ma. </w:t>
            </w:r>
          </w:p>
          <w:p w:rsidR="008A3AB6" w:rsidRDefault="008A3AB6">
            <w:pPr>
              <w:rPr>
                <w:sz w:val="16"/>
              </w:rPr>
            </w:pPr>
            <w:r>
              <w:rPr>
                <w:sz w:val="16"/>
              </w:rPr>
              <w:t>Chiral signal in fossils lost after ~ 1 Ma.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Sugars</w:t>
            </w:r>
          </w:p>
        </w:tc>
        <w:tc>
          <w:tcPr>
            <w:tcW w:type="dxa" w:w="1710"/>
          </w:tcPr>
          <w:p w:rsidR="008A3AB6" w:rsidRDefault="008A3AB6">
            <w:pPr>
              <w:jc w:val="center"/>
              <w:rPr>
                <w:sz w:val="16"/>
              </w:rPr>
            </w:pPr>
            <w:r>
              <w:rPr>
                <w:sz w:val="16"/>
              </w:rPr>
              <w:t>~3</w:t>
            </w:r>
          </w:p>
        </w:tc>
        <w:tc>
          <w:tcPr>
            <w:tcW w:type="dxa" w:w="1710"/>
          </w:tcPr>
          <w:p w:rsidR="008A3AB6" w:rsidRDefault="008A3AB6">
            <w:pPr>
              <w:jc w:val="center"/>
              <w:rPr>
                <w:sz w:val="16"/>
              </w:rPr>
            </w:pPr>
            <w:r>
              <w:rPr>
                <w:sz w:val="16"/>
              </w:rPr>
              <w:t>~200</w:t>
            </w:r>
          </w:p>
        </w:tc>
        <w:tc>
          <w:tcPr>
            <w:tcW w:type="dxa" w:w="3544"/>
          </w:tcPr>
          <w:p w:rsidR="008A3AB6" w:rsidRDefault="008A3AB6">
            <w:pPr>
              <w:rPr>
                <w:sz w:val="16"/>
              </w:rPr>
            </w:pPr>
            <w:r>
              <w:rPr>
                <w:sz w:val="16"/>
              </w:rPr>
              <w:t>Days to weeks (see polysaccharides)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Other small organics</w:t>
            </w:r>
          </w:p>
        </w:tc>
        <w:tc>
          <w:tcPr>
            <w:tcW w:type="dxa" w:w="1710"/>
          </w:tcPr>
          <w:p w:rsidR="008A3AB6" w:rsidRDefault="008A3AB6">
            <w:pPr>
              <w:jc w:val="center"/>
              <w:rPr>
                <w:sz w:val="16"/>
              </w:rPr>
            </w:pPr>
            <w:r>
              <w:rPr>
                <w:sz w:val="16"/>
              </w:rPr>
              <w:t>0.2</w:t>
            </w:r>
          </w:p>
        </w:tc>
        <w:tc>
          <w:tcPr>
            <w:tcW w:type="dxa" w:w="1710"/>
          </w:tcPr>
          <w:p w:rsidR="008A3AB6" w:rsidRDefault="008A3AB6">
            <w:pPr>
              <w:jc w:val="center"/>
              <w:rPr>
                <w:sz w:val="16"/>
              </w:rPr>
            </w:pPr>
            <w:r>
              <w:rPr>
                <w:sz w:val="16"/>
              </w:rPr>
              <w:t>~200</w:t>
            </w:r>
          </w:p>
        </w:tc>
        <w:tc>
          <w:tcPr>
            <w:tcW w:type="dxa" w:w="3544"/>
          </w:tcPr>
          <w:p w:rsidR="008A3AB6" w:rsidRDefault="008A3AB6">
            <w:pPr>
              <w:rPr>
                <w:sz w:val="16"/>
              </w:rPr>
            </w:pPr>
            <w:r>
              <w:rPr>
                <w:sz w:val="16"/>
              </w:rPr>
              <w:t>Porphyrins ~ 2 Ga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Inorganic species (C, H, N, O, Fe, P, S etc).</w:t>
            </w:r>
          </w:p>
        </w:tc>
        <w:tc>
          <w:tcPr>
            <w:tcW w:type="dxa" w:w="1710"/>
          </w:tcPr>
          <w:p w:rsidR="008A3AB6" w:rsidRDefault="008A3AB6">
            <w:pPr>
              <w:jc w:val="center"/>
              <w:rPr>
                <w:sz w:val="16"/>
              </w:rPr>
            </w:pPr>
            <w:r>
              <w:rPr>
                <w:sz w:val="16"/>
              </w:rPr>
              <w:t>1 (~100% dry weight)</w:t>
            </w:r>
          </w:p>
        </w:tc>
        <w:tc>
          <w:tcPr>
            <w:tcW w:type="dxa" w:w="1710"/>
          </w:tcPr>
          <w:p w:rsidR="008A3AB6" w:rsidRDefault="008A3AB6">
            <w:pPr>
              <w:jc w:val="center"/>
              <w:rPr>
                <w:sz w:val="16"/>
              </w:rPr>
            </w:pPr>
            <w:r>
              <w:rPr>
                <w:sz w:val="16"/>
              </w:rPr>
              <w:t>~20 – 30 (including inorganic complexes)</w:t>
            </w:r>
          </w:p>
        </w:tc>
        <w:tc>
          <w:tcPr>
            <w:tcW w:type="dxa" w:w="3544"/>
          </w:tcPr>
          <w:p w:rsidR="008A3AB6" w:rsidRDefault="008A3AB6">
            <w:pPr>
              <w:rPr>
                <w:sz w:val="16"/>
              </w:rPr>
            </w:pPr>
            <w:r>
              <w:rPr>
                <w:sz w:val="16"/>
              </w:rPr>
              <w:t>Isotopes may preserved for ? 3.5 Ga for C.</w:t>
            </w:r>
          </w:p>
          <w:p w:rsidR="008A3AB6" w:rsidRDefault="008A3AB6">
            <w:pPr>
              <w:rPr>
                <w:sz w:val="16"/>
              </w:rPr>
            </w:pPr>
            <w:r>
              <w:rPr>
                <w:sz w:val="16"/>
              </w:rPr>
              <w:t>Research is continuing to define other isotope systematics for preservation of a biogenic signature.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Diagenetic Macromolecular material</w:t>
            </w:r>
          </w:p>
        </w:tc>
        <w:tc>
          <w:tcPr>
            <w:tcW w:type="dxa" w:w="1710"/>
          </w:tcPr>
          <w:p w:rsidR="008A3AB6" w:rsidRDefault="008A3AB6">
            <w:pPr>
              <w:pStyle w:val="BalloonText"/>
              <w:rPr>
                <w:rFonts w:ascii="Times New Roman" w:hAnsi="Times New Roman"/>
              </w:rPr>
            </w:pPr>
            <w:r>
              <w:rPr>
                <w:rFonts w:ascii="Times New Roman" w:hAnsi="Times New Roman"/>
              </w:rPr>
              <w:t>Total cell breakdown products (100% dry weight of cells)</w:t>
            </w:r>
          </w:p>
        </w:tc>
        <w:tc>
          <w:tcPr>
            <w:tcW w:type="dxa" w:w="1710"/>
          </w:tcPr>
          <w:p w:rsidR="008A3AB6" w:rsidRDefault="008A3AB6">
            <w:pPr>
              <w:jc w:val="center"/>
              <w:rPr>
                <w:sz w:val="16"/>
              </w:rPr>
            </w:pPr>
            <w:r>
              <w:rPr>
                <w:sz w:val="16"/>
              </w:rPr>
              <w:t>Kerrogens (4 types)</w:t>
            </w:r>
          </w:p>
          <w:p w:rsidR="008A3AB6" w:rsidRDefault="008A3AB6">
            <w:pPr>
              <w:jc w:val="center"/>
              <w:rPr>
                <w:sz w:val="16"/>
              </w:rPr>
            </w:pPr>
            <w:r>
              <w:rPr>
                <w:sz w:val="16"/>
              </w:rPr>
              <w:t>Melanoidins (100’s)</w:t>
            </w:r>
          </w:p>
        </w:tc>
        <w:tc>
          <w:tcPr>
            <w:tcW w:type="dxa" w:w="3544"/>
          </w:tcPr>
          <w:p w:rsidR="008A3AB6" w:rsidRDefault="008A3AB6">
            <w:pPr>
              <w:rPr>
                <w:sz w:val="16"/>
              </w:rPr>
            </w:pPr>
            <w:r>
              <w:rPr>
                <w:sz w:val="16"/>
              </w:rPr>
              <w:t>Kerrogens – ? 3.5Ga for biogenic (Type 1-3). Type 4 indicative of meteoritic input.</w:t>
            </w:r>
          </w:p>
          <w:p w:rsidR="008A3AB6" w:rsidRDefault="008A3AB6">
            <w:pPr>
              <w:rPr>
                <w:sz w:val="16"/>
              </w:rPr>
            </w:pPr>
            <w:r>
              <w:rPr>
                <w:sz w:val="16"/>
              </w:rPr>
              <w:t>Melanoidins conbination of sugar and proteins, ~50 Ma.</w:t>
            </w:r>
          </w:p>
        </w:tc>
      </w:tr>
    </w:tbl>
    <w:p>
      <w:r>
        <w:t>
</w:t>
        <w:t>
</w:t>
      </w:r>
    </w:p>
    <w:p>
      <w:pPr>
        <w:pStyle w:val=""/>
        <w:jc w:val="left"/>
      </w:pPr>
    </w:p>
    <w:p>
      <w:pPr>
        <w:pStyle w:val="BodyText3"/>
        <w:jc w:val="left"/>
      </w:pPr>
    </w:p>
    <w:p>
      <w:pPr>
        <w:pStyle w:val="Heading1"/>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TableofFigures"/>
        <w:jc w:val="both"/>
      </w:pPr>
    </w:p>
    <w:p>
      <w:pPr>
        <w:pStyle w:val="TableofFigures"/>
        <w:jc w:val="both"/>
      </w:pPr>
    </w:p>
    <w:p>
      <w:pPr>
        <w:jc w:val="center"/>
      </w:pPr>
    </w:p>
    <w:p>
      <w:r>
        <w:drawing>
          <wp:inline distT="0" distB="0" distL="0" distR="0">
            <wp:extent cx="5476875" cy="3086100"/>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xmlns:r="http://schemas.openxmlformats.org/officeDocument/2006/relationships" r:embed="rId4"/>
                    <a:stretch>
                      <a:fillRect/>
                    </a:stretch>
                  </pic:blipFill>
                  <pic:spPr>
                    <a:xfrm>
                      <a:off x="0" y="0"/>
                      <a:ext cx="5476875" cy="3086100"/>
                    </a:xfrm>
                    <a:prstGeom prst="rect">
                      <a:avLst/>
                    </a:prstGeom>
                  </pic:spPr>
                </pic:pic>
              </a:graphicData>
            </a:graphic>
          </wp:inline>
        </w:drawing>
      </w:r>
    </w:p>
    <w:p>
      <w:pPr>
        <w:pStyle w:val="Heading2"/>
        <w:jc w:val="left"/>
      </w:pPr>
    </w:p>
    <w:p>
      <w:pPr>
        <w:pStyle w:val=""/>
        <w:jc w:val="both"/>
      </w:pPr>
    </w:p>
    <w:p>
      <w:pPr>
        <w:pStyle w:val="Heading8"/>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8"/>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8"/>
        <w:jc w:val="left"/>
      </w:pPr>
    </w:p>
    <w:p>
      <w:pPr>
        <w:pStyle w:val=""/>
        <w:jc w:val="both"/>
      </w:pPr>
    </w:p>
    <w:p>
      <w:pPr>
        <w:pStyle w:val="TableofFigures"/>
        <w:jc w:val="left"/>
      </w:pPr>
    </w:p>
    <w:p>
      <w:pPr>
        <w:jc w:val="center"/>
      </w:pPr>
    </w:p>
    <w:p>
      <w:r>
        <w:drawing>
          <wp:inline distT="0" distB="0" distL="0" distR="0">
            <wp:extent cx="3829050" cy="1981200"/>
            <wp:docPr id="4" name="Picture 4" descr="Generated"/>
            <a:graphic xmlns:a="http://schemas.openxmlformats.org/drawingml/2006/main">
              <a:graphicData uri="http://schemas.openxmlformats.org/drawingml/2006/picture">
                <pic:pic xmlns:pic="http://schemas.openxmlformats.org/drawingml/2006/picture">
                  <pic:nvPicPr>
                    <pic:cNvPr id="4" name="Generated"/>
                    <pic:cNvPicPr/>
                  </pic:nvPicPr>
                  <pic:blipFill>
                    <a:blip xmlns:r="http://schemas.openxmlformats.org/officeDocument/2006/relationships" r:embed="rId5"/>
                    <a:stretch>
                      <a:fillRect/>
                    </a:stretch>
                  </pic:blipFill>
                  <pic:spPr>
                    <a:xfrm>
                      <a:off x="0" y="0"/>
                      <a:ext cx="3829050" cy="1981200"/>
                    </a:xfrm>
                    <a:prstGeom prst="rect">
                      <a:avLst/>
                    </a:prstGeom>
                  </pic:spPr>
                </pic:pic>
              </a:graphicData>
            </a:graphic>
          </wp:inline>
        </w:drawing>
      </w:r>
    </w:p>
    <w:p>
      <w:pPr>
        <w:pStyle w:val="Heading2"/>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BodyTextIndent3"/>
        <w:jc w:val="both"/>
      </w:pPr>
    </w:p>
    <w:p>
      <w:pPr>
        <w:pStyle w:val="BodyTextIndent"/>
        <w:jc w:val="both"/>
      </w:pPr>
    </w:p>
    <w:p>
      <w:pPr>
        <w:pStyle w:val="BodyTextIndent"/>
        <w:jc w:val="both"/>
      </w:pPr>
    </w:p>
    <w:p>
      <w:pPr>
        <w:pStyle w:val=""/>
        <w:jc w:val="both"/>
      </w:pPr>
    </w:p>
    <w:p>
      <w:pPr>
        <w:pStyle w:val=""/>
        <w:jc w:val="both"/>
      </w:pPr>
    </w:p>
    <w:p>
      <w:pPr>
        <w:pStyle w:val=""/>
        <w:jc w:val="both"/>
      </w:pPr>
    </w:p>
    <w:p>
      <w:pPr>
        <w:pStyle w:val="Heading2"/>
        <w:jc w:val="both"/>
      </w:pPr>
    </w:p>
    <w:p>
      <w:pPr>
        <w:pStyle w:val=""/>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2"/>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Heading1"/>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2"/>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er"/>
        <w:jc w:val="both"/>
      </w:pPr>
    </w:p>
    <w:p>
      <w:pPr>
        <w:pStyle w:val="Header"/>
        <w:jc w:val="both"/>
      </w:pPr>
    </w:p>
    <w:p>
      <w:pPr>
        <w:pStyle w:val="Heading2"/>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BodyText3"/>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BodyText"/>
        <w:jc w:val="both"/>
      </w:pPr>
    </w:p>
    <w:p>
      <w:pPr>
        <w:pStyle w:val=""/>
        <w:jc w:val="both"/>
      </w:pPr>
    </w:p>
    <w:p>
      <w:pPr>
        <w:pStyle w:val=""/>
        <w:jc w:val="both"/>
      </w:pPr>
    </w:p>
    <w:p>
      <w:pPr>
        <w:pStyle w:val="TableofFigures"/>
        <w:jc w:val="left"/>
      </w:pPr>
    </w:p>
    <w:p>
      <w:pPr>
        <w:jc w:val="center"/>
      </w:pPr>
    </w:p>
    <w:p>
      <w:r>
        <w:drawing>
          <wp:inline distT="0" distB="0" distL="0" distR="0">
            <wp:extent cx="5362575" cy="3457575"/>
            <wp:docPr id="5" name="Picture 5" descr="Generated"/>
            <a:graphic xmlns:a="http://schemas.openxmlformats.org/drawingml/2006/main">
              <a:graphicData uri="http://schemas.openxmlformats.org/drawingml/2006/picture">
                <pic:pic xmlns:pic="http://schemas.openxmlformats.org/drawingml/2006/picture">
                  <pic:nvPicPr>
                    <pic:cNvPr id="5" name="Generated"/>
                    <pic:cNvPicPr/>
                  </pic:nvPicPr>
                  <pic:blipFill>
                    <a:blip xmlns:r="http://schemas.openxmlformats.org/officeDocument/2006/relationships" r:embed="rId6"/>
                    <a:stretch>
                      <a:fillRect/>
                    </a:stretch>
                  </pic:blipFill>
                  <pic:spPr>
                    <a:xfrm>
                      <a:off x="0" y="0"/>
                      <a:ext cx="5362575" cy="3457575"/>
                    </a:xfrm>
                    <a:prstGeom prst="rect">
                      <a:avLst/>
                    </a:prstGeom>
                  </pic:spPr>
                </pic:pic>
              </a:graphicData>
            </a:graphic>
          </wp:inline>
        </w:drawing>
      </w:r>
    </w:p>
    <w:p>
      <w:pPr>
        <w:pStyle w:val=""/>
        <w:jc w:val="both"/>
      </w:pPr>
    </w:p>
    <w:p>
      <w:pPr>
        <w:pStyle w:val=""/>
        <w:jc w:val="both"/>
      </w:pPr>
    </w:p>
    <w:p>
      <w:pPr>
        <w:pStyle w:val=""/>
        <w:jc w:val="both"/>
      </w:pPr>
    </w:p>
    <w:p>
      <w:pPr>
        <w:pStyle w:val="Heading2"/>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3"/>
        <w:jc w:val="left"/>
      </w:pPr>
    </w:p>
    <w:p>
      <w:pPr>
        <w:pStyle w:val=""/>
        <w:jc w:val="both"/>
      </w:pPr>
    </w:p>
    <w:p>
      <w:pPr>
        <w:pStyle w:val=""/>
        <w:jc w:val="both"/>
      </w:pPr>
    </w:p>
    <w:p>
      <w:pPr>
        <w:pStyle w:val=""/>
        <w:jc w:val="both"/>
      </w:pPr>
    </w:p>
    <w:p>
      <w:pPr>
        <w:pStyle w:val=""/>
        <w:jc w:val="both"/>
      </w:pPr>
    </w:p>
    <w:p>
      <w:pPr>
        <w:pStyle w:val=""/>
        <w:jc w:val="both"/>
      </w:pPr>
    </w:p>
    <w:p>
      <w:pPr>
        <w:pStyle w:val="BodyText3"/>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BodyText3"/>
        <w:jc w:val="left"/>
      </w:pPr>
    </w:p>
    <w:p>
      <w:pPr>
        <w:pStyle w:val="Heading3"/>
        <w:jc w:val="left"/>
      </w:pPr>
    </w:p>
    <w:p>
      <w:pPr>
        <w:pStyle w:val=""/>
        <w:jc w:val="both"/>
      </w:pPr>
    </w:p>
    <w:p>
      <w:pPr>
        <w:pStyle w:val="Heading3"/>
        <w:jc w:val="left"/>
      </w:pPr>
    </w:p>
    <w:p>
      <w:pPr>
        <w:pStyle w:val=""/>
        <w:jc w:val="both"/>
      </w:pPr>
    </w:p>
    <w:p>
      <w:pPr>
        <w:pStyle w:val=""/>
        <w:jc w:val="both"/>
      </w:pPr>
    </w:p>
    <w:p>
      <w:pPr>
        <w:pStyle w:val=""/>
        <w:jc w:val="both"/>
      </w:pPr>
    </w:p>
    <w:p>
      <w:pPr>
        <w:pStyle w:val="Heading3"/>
        <w:jc w:val="left"/>
      </w:pPr>
    </w:p>
    <w:p>
      <w:pPr>
        <w:pStyle w:val=""/>
        <w:jc w:val="both"/>
      </w:pPr>
    </w:p>
    <w:p>
      <w:pPr>
        <w:pStyle w:val=""/>
        <w:jc w:val="both"/>
      </w:pPr>
    </w:p>
    <w:p>
      <w:pPr>
        <w:pStyle w:val="Heading3"/>
        <w:jc w:val="left"/>
      </w:pPr>
    </w:p>
    <w:p>
      <w:pPr>
        <w:pStyle w:val=""/>
        <w:jc w:val="both"/>
      </w:pPr>
    </w:p>
    <w:p>
      <w:pPr>
        <w:pStyle w:val="BodyText3"/>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3"/>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2"/>
        <w:jc w:val="left"/>
      </w:pPr>
    </w:p>
    <w:p>
      <w:pPr>
        <w:pStyle w:val=""/>
        <w:jc w:val="both"/>
      </w:pPr>
    </w:p>
    <w:p>
      <w:pPr>
        <w:pStyle w:val="Heading1"/>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TableofFigures"/>
        <w:jc w:val="left"/>
      </w:pPr>
    </w:p>
    <w:p>
      <w:pPr>
        <w:jc w:val="center"/>
      </w:pPr>
    </w:p>
    <w:p>
      <w:r>
        <w:drawing>
          <wp:inline distT="0" distB="0" distL="0" distR="0">
            <wp:extent cx="2362200" cy="2028825"/>
            <wp:docPr id="6" name="Picture 6" descr="Generated"/>
            <a:graphic xmlns:a="http://schemas.openxmlformats.org/drawingml/2006/main">
              <a:graphicData uri="http://schemas.openxmlformats.org/drawingml/2006/picture">
                <pic:pic xmlns:pic="http://schemas.openxmlformats.org/drawingml/2006/picture">
                  <pic:nvPicPr>
                    <pic:cNvPr id="6" name="Generated"/>
                    <pic:cNvPicPr/>
                  </pic:nvPicPr>
                  <pic:blipFill>
                    <a:blip xmlns:r="http://schemas.openxmlformats.org/officeDocument/2006/relationships" r:embed="rId7"/>
                    <a:stretch>
                      <a:fillRect/>
                    </a:stretch>
                  </pic:blipFill>
                  <pic:spPr>
                    <a:xfrm>
                      <a:off x="0" y="0"/>
                      <a:ext cx="2362200" cy="2028825"/>
                    </a:xfrm>
                    <a:prstGeom prst="rect">
                      <a:avLst/>
                    </a:prstGeom>
                  </pic:spPr>
                </pic:pic>
              </a:graphicData>
            </a:graphic>
          </wp:inline>
        </w:drawing>
      </w:r>
    </w:p>
    <w:p>
      <w:pPr>
        <w:pStyle w:val=""/>
        <w:jc w:val="both"/>
      </w:pPr>
    </w:p>
    <w:p>
      <w:pPr>
        <w:pStyle w:val=""/>
        <w:jc w:val="both"/>
      </w:pPr>
    </w:p>
    <w:p>
      <w:pPr>
        <w:pStyle w:val=""/>
        <w:jc w:val="both"/>
      </w:pPr>
    </w:p>
    <w:p>
      <w:pPr>
        <w:pStyle w:val=""/>
        <w:jc w:val="both"/>
      </w:pPr>
    </w:p>
    <w:p>
      <w:pPr>
        <w:pStyle w:val="Heading1"/>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left"/>
      </w:pPr>
    </w:p>
    <w:p>
      <w:pPr>
        <w:pStyle w:val=""/>
        <w:jc w:val="left"/>
      </w:pPr>
    </w:p>
    <w:p>
      <w:pPr>
        <w:pStyle w:val=""/>
        <w:jc w:val="left"/>
      </w:pPr>
    </w:p>
    <w:p>
      <w:pPr>
        <w:pStyle w:val=""/>
        <w:jc w:val="both"/>
      </w:pPr>
    </w:p>
    <w:p>
      <w:pPr>
        <w:pStyle w:val="Heading1"/>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Heading1"/>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1"/>
        <w:jc w:val="left"/>
      </w:pPr>
    </w:p>
    <w:p>
      <w:pPr>
        <w:pStyle w:val=""/>
        <w:jc w:val="both"/>
      </w:pPr>
    </w:p>
    <w:p>
      <w:pPr>
        <w:pStyle w:val=""/>
        <w:jc w:val="both"/>
      </w:pPr>
    </w:p>
    <w:p>
      <w:pPr>
        <w:pStyle w:val=""/>
        <w:jc w:val="both"/>
      </w:pPr>
    </w:p>
    <w:p>
      <w:pPr>
        <w:pStyle w:val=""/>
        <w:jc w:val="left"/>
      </w:pPr>
    </w:p>
    <w:p>
      <w:pPr>
        <w:pStyle w:val=""/>
        <w:jc w:val="both"/>
      </w:pPr>
    </w:p>
    <w:p>
      <w:pPr>
        <w:pStyle w:val=""/>
        <w:jc w:val="left"/>
      </w:pPr>
    </w:p>
    <w:p>
      <w:pPr>
        <w:pStyle w:val=""/>
        <w:jc w:val="left"/>
      </w:pPr>
    </w:p>
    <w:p>
      <w:pPr>
        <w:pStyle w:val=""/>
        <w:jc w:val="both"/>
      </w:pPr>
    </w:p>
    <w:p>
      <w:pPr>
        <w:pStyle w:val=""/>
        <w:jc w:val="both"/>
      </w:pPr>
    </w:p>
    <w:p>
      <w:pPr>
        <w:pStyle w:val=""/>
        <w:jc w:val="both"/>
      </w:pPr>
    </w:p>
    <w:p>
      <w:pPr>
        <w:pStyle w:val=""/>
        <w:jc w:val="both"/>
      </w:pPr>
    </w:p>
    <w:p>
      <w:pPr>
        <w:pStyle w:val=""/>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left"/>
      </w:pPr>
    </w:p>
    <w:p>
      <w:pPr>
        <w:pStyle w:val=""/>
        <w:jc w:val="both"/>
      </w:pPr>
    </w:p>
    <w:p>
      <w:pPr>
        <w:pStyle w:val=""/>
        <w:jc w:val="both"/>
      </w:pPr>
    </w:p>
    <w:p>
      <w:pPr>
        <w:pStyle w:val=""/>
        <w:jc w:val="both"/>
      </w:pPr>
    </w:p>
    <w:p>
      <w:pPr>
        <w:pStyle w:val=""/>
        <w:jc w:val="both"/>
      </w:pPr>
    </w:p>
    <w:p>
      <w:pPr>
        <w:pStyle w:val=""/>
        <w:jc w:val="both"/>
      </w:pPr>
    </w:p>
    <w:p>
      <w:pPr>
        <w:pStyle w:val=""/>
        <w:jc w:val="left"/>
      </w:pPr>
    </w:p>
    <w:p>
      <w:pPr>
        <w:pStyle w:val=""/>
        <w:jc w:val="both"/>
      </w:pPr>
    </w:p>
    <w:p>
      <w:pPr>
        <w:pStyle w:val=""/>
        <w:jc w:val="left"/>
      </w:pPr>
    </w:p>
    <w:p>
      <w:pPr>
        <w:pStyle w:val=""/>
        <w:jc w:val="both"/>
      </w:pPr>
    </w:p>
    <w:p>
      <w:pPr>
        <w:pStyle w:val=""/>
        <w:jc w:val="both"/>
      </w:pPr>
    </w:p>
    <w:p>
      <w:pPr>
        <w:pStyle w:val=""/>
        <w:jc w:val="both"/>
      </w:pPr>
    </w:p>
    <w:p>
      <w:pPr>
        <w:pStyle w:val=""/>
        <w:jc w:val="both"/>
      </w:pPr>
    </w:p>
    <w:p>
      <w:pPr>
        <w:pStyle w:val=""/>
        <w:jc w:val="both"/>
      </w:pPr>
    </w:p>
    <w:p>
      <w:pPr>
        <w:pStyle w:val="BodyText3"/>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left"/>
      </w:pPr>
    </w:p>
    <w:p>
      <w:pPr>
        <w:pStyle w:val=""/>
        <w:jc w:val="left"/>
      </w:pPr>
    </w:p>
    <w:p>
      <w:pPr>
        <w:pStyle w:val=""/>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left"/>
      </w:pPr>
    </w:p>
    <w:p>
      <w:pPr>
        <w:pStyle w:val=""/>
        <w:jc w:val="both"/>
      </w:pPr>
    </w:p>
    <w:p>
      <w:pPr>
        <w:pStyle w:val=""/>
        <w:jc w:val="both"/>
      </w:pPr>
    </w:p>
    <w:p>
      <w:pPr>
        <w:pStyle w:val=""/>
        <w:jc w:val="left"/>
      </w:pPr>
    </w:p>
    <w:p>
      <w:pPr>
        <w:pStyle w:val=""/>
        <w:jc w:val="both"/>
      </w:pPr>
    </w:p>
    <w:p>
      <w:pPr>
        <w:pStyle w:val=""/>
        <w:jc w:val="both"/>
      </w:pPr>
    </w:p>
    <w:p>
      <w:pPr>
        <w:pStyle w:val=""/>
        <w:jc w:val="both"/>
      </w:pPr>
    </w:p>
    <w:p>
      <w:pPr>
        <w:pStyle w:val=""/>
        <w:jc w:val="left"/>
      </w:pPr>
    </w:p>
    <w:p>
      <w:pPr>
        <w:pStyle w:val=""/>
        <w:jc w:val="both"/>
      </w:pPr>
    </w:p>
    <w:p>
      <w:pPr>
        <w:pStyle w:val=""/>
        <w:jc w:val="both"/>
      </w:pPr>
    </w:p>
    <w:p>
      <w:pPr>
        <w:pStyle w:val=""/>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1"/>
        <w:jc w:val="left"/>
      </w:pPr>
    </w:p>
    <w:p>
      <w:pPr>
        <w:pStyle w:val="Caption"/>
        <w:jc w:val="left"/>
      </w:pPr>
    </w:p>
    <w:p>
      <w:pPr>
        <w:jc w:val="center"/>
      </w:pPr>
    </w:p>
    <w:p>
      <w:r>
        <w:drawing>
          <wp:inline distT="0" distB="0" distL="0" distR="0">
            <wp:extent cx="6677025" cy="6086475"/>
            <wp:docPr id="7" name="Picture 7" descr="Generated"/>
            <a:graphic xmlns:a="http://schemas.openxmlformats.org/drawingml/2006/main">
              <a:graphicData uri="http://schemas.openxmlformats.org/drawingml/2006/picture">
                <pic:pic xmlns:pic="http://schemas.openxmlformats.org/drawingml/2006/picture">
                  <pic:nvPicPr>
                    <pic:cNvPr id="7" name="Generated"/>
                    <pic:cNvPicPr/>
                  </pic:nvPicPr>
                  <pic:blipFill>
                    <a:blip xmlns:r="http://schemas.openxmlformats.org/officeDocument/2006/relationships" r:embed="rId8"/>
                    <a:stretch>
                      <a:fillRect/>
                    </a:stretch>
                  </pic:blipFill>
                  <pic:spPr>
                    <a:xfrm>
                      <a:off x="0" y="0"/>
                      <a:ext cx="6677025" cy="6086475"/>
                    </a:xfrm>
                    <a:prstGeom prst="rect">
                      <a:avLst/>
                    </a:prstGeom>
                  </pic:spPr>
                </pic:pic>
              </a:graphicData>
            </a:graphic>
          </wp:inline>
        </w:drawing>
      </w:r>
    </w:p>
    <w:p>
      <w:pPr>
        <w:pStyle w:val="Heading1"/>
        <w:jc w:val="left"/>
      </w:pPr>
    </w:p>
    <w:p>
      <w:pPr>
        <w:pStyle w:val=""/>
        <w:jc w:val="both"/>
      </w:pPr>
    </w:p>
    <w:p>
      <w:pPr>
        <w:pStyle w:val=""/>
        <w:jc w:val="both"/>
      </w:pPr>
      <w:r>
        <w:rPr>
          <w:rFonts w:ascii="" w:hAnsi="" w:cs="" w:eastAsia=""/>
          <w:b w:val="false"/>
          <w:i w:val="false"/>
          <w:strike w:val="false"/>
          <w:color w:val=""/>
        </w:rPr>
        <w:t/>
      </w:r>
      <w:r>
        <w:rPr>
          <w:rFonts w:ascii="" w:hAnsi="" w:cs="" w:eastAsia=""/>
          <w:b w:val="false"/>
          <w:i w:val="false"/>
          <w:strike w:val="false"/>
          <w:color w:val=""/>
        </w:rPr>
        <w:t>Mass</w:t>
      </w:r>
      <w:r>
        <w:rPr>
          <w:rFonts w:ascii="" w:hAnsi="" w:cs="" w:eastAsia=""/>
          <w:b w:val="false"/>
          <w:i w:val="false"/>
          <w:strike w:val="false"/>
          <w:color w:val=""/>
        </w:rPr>
        <w:t xml:space="preserve"> </w:t>
      </w:r>
      <w:r>
        <w:rPr>
          <w:rFonts w:ascii="" w:hAnsi="" w:cs="" w:eastAsia=""/>
          <w:b w:val="false"/>
          <w:i w:val="false"/>
          <w:strike w:val="false"/>
          <w:color w:val=""/>
        </w:rPr>
        <w:t>Range</w:t>
      </w:r>
      <w:r>
        <w:rPr>
          <w:rFonts w:ascii="" w:hAnsi="" w:cs="" w:eastAsia=""/>
          <w:b w:val="false"/>
          <w:i w:val="false"/>
          <w:strike w:val="false"/>
          <w:color w:val=""/>
        </w:rPr>
        <w:t xml:space="preserve"> column gives the typical range of molecular weights that are accessible with a given mass spectrometric method.</w:t>
      </w:r>
    </w:p>
    <w:p>
      <w:pPr>
        <w:pStyle w:val=""/>
        <w:jc w:val="both"/>
      </w:pPr>
      <w:r>
        <w:rPr>
          <w:rFonts w:ascii="" w:hAnsi="" w:cs="" w:eastAsia=""/>
          <w:b w:val="false"/>
          <w:i w:val="false"/>
          <w:strike w:val="false"/>
          <w:color w:val=""/>
        </w:rPr>
        <w:t xml:space="preserve">Finally, the remaining columns provide a correlation of where a technique would be applied in support of various </w:t>
      </w:r>
      <w:r>
        <w:rPr>
          <w:rFonts w:ascii="" w:hAnsi="" w:cs="" w:eastAsia=""/>
          <w:b w:val="false"/>
          <w:i w:val="true"/>
          <w:strike w:val="false"/>
          <w:color w:val=""/>
        </w:rPr>
        <w:t>discovery-responsive measurements</w:t>
      </w:r>
      <w:r>
        <w:rPr>
          <w:rFonts w:ascii="" w:hAnsi="" w:cs="" w:eastAsia=""/>
          <w:b w:val="false"/>
          <w:i w:val="false"/>
          <w:strike w:val="false"/>
          <w:color w:val=""/>
        </w:rPr>
        <w:t xml:space="preserve"> by AFL that would be called for following the discoveries listed in Appendix 2. This separate correlation, beyond the technique-to-measurement requirement-to-mission objective logical chain, permits a greater flexibility and responsiveness of the AFL concept to specific scenarios that may develop from current Mars missions and over the next several years.</w:t>
      </w:r>
    </w:p>
    <w:tbl>
      <w:tblPr>
        <w:tblStyle w:val=""/>
        <w:tblStyleRowBandSize w:val="0"/>
        <w:tblStyleColBandSize w:val="0"/>
        <w:tblW w:w="1406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24"/>
        </w:trPr>
        <w:tc>
          <w:tcPr>
            <w:tcW w:type="dxa" w:w="1420"/>
            <w:gridSpan w:val="1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b/>
                <w:color w:val="000000"/>
                <w:sz w:val="12"/>
              </w:rPr>
            </w:pPr>
            <w:r>
              <w:rPr>
                <w:rFonts w:ascii="Arial" w:hAnsi="Arial"/>
                <w:b/>
                <w:color w:val="000000"/>
                <w:sz w:val="12"/>
              </w:rPr>
              <w:lastRenderedPageBreak/>
              <w:t>Table 8- Techniques Suggested for AFL by SSG Members</w:t>
            </w:r>
          </w:p>
        </w:tc>
        <w:tc>
          <w:tcPr>
            <w:tcW w:type="dxa" w:w="45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24"/>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1260"/>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88"/>
            <w:tcBorders>
              <w:top w:color="auto" w:space="0" w:sz="1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368"/>
            <w:gridSpan w:val="3"/>
            <w:tcBorders>
              <w:top w:color="auto" w:space="0" w:sz="12" w:val="single"/>
              <w:left w:color="auto" w:space="0" w:sz="12" w:val="single"/>
              <w:bottom w:color="auto" w:space="0" w:sz="6"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Measurement Tier</w:t>
            </w:r>
          </w:p>
        </w:tc>
        <w:tc>
          <w:tcPr>
            <w:tcW w:type="dxa" w:w="508"/>
            <w:gridSpan w:val="3"/>
            <w:tcBorders>
              <w:top w:color="auto" w:space="0" w:sz="12" w:val="single"/>
              <w:left w:color="auto" w:space="0" w:sz="12" w:val="single"/>
              <w:bottom w:color="auto" w:space="0" w:sz="6"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Target/Sample Information</w:t>
            </w:r>
          </w:p>
        </w:tc>
        <w:tc>
          <w:tcPr>
            <w:tcW w:type="dxa" w:w="424"/>
            <w:tcBorders>
              <w:top w:color="auto" w:space="0" w:sz="12" w:val="single"/>
              <w:left w:color="000000" w:space="0" w:sz="2" w:val="single"/>
              <w:bottom w:color="auto" w:space="0" w:sz="6"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696"/>
            <w:gridSpan w:val="8"/>
            <w:tcBorders>
              <w:top w:color="auto" w:space="0" w:sz="12" w:val="single"/>
              <w:left w:color="auto" w:space="0" w:sz="12" w:val="single"/>
              <w:bottom w:color="auto" w:space="0" w:sz="6"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Technique Characteristics (instrument implementation) where appropriate</w:t>
            </w:r>
          </w:p>
        </w:tc>
        <w:tc>
          <w:tcPr>
            <w:tcW w:type="dxa" w:w="544"/>
            <w:tcBorders>
              <w:top w:color="auto" w:space="0" w:sz="12" w:val="single"/>
              <w:left w:color="000000" w:space="0" w:sz="2" w:val="single"/>
              <w:bottom w:color="auto" w:space="0" w:sz="6"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368"/>
            <w:gridSpan w:val="4"/>
            <w:tcBorders>
              <w:top w:color="auto" w:space="0" w:sz="1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Discovery/Follow-up per Table 7</w:t>
            </w:r>
          </w:p>
        </w:tc>
        <w:tc>
          <w:tcPr>
            <w:tcW w:type="dxa" w:w="39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80"/>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12"/>
            <w:tcBorders>
              <w:top w:color="auto" w:space="0" w:sz="1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96"/>
        </w:trPr>
        <w:tc>
          <w:tcPr>
            <w:tcW w:type="dxa" w:w="142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Technique</w:t>
            </w:r>
          </w:p>
        </w:tc>
        <w:tc>
          <w:tcPr>
            <w:tcW w:type="dxa" w:w="1260"/>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Data/ Signatures Sought</w:t>
            </w:r>
          </w:p>
        </w:tc>
        <w:tc>
          <w:tcPr>
            <w:tcW w:type="dxa" w:w="488"/>
            <w:tcBorders>
              <w:top w:color="000000" w:space="0" w:sz="2" w:val="single"/>
              <w:left w:color="auto" w:space="0" w:sz="1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Mmnt Reqts Addessed (Section 7)</w:t>
            </w:r>
          </w:p>
        </w:tc>
        <w:tc>
          <w:tcPr>
            <w:tcW w:type="dxa" w:w="368"/>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Remote Sensing/Standoff</w:t>
            </w:r>
          </w:p>
        </w:tc>
        <w:tc>
          <w:tcPr>
            <w:tcW w:type="dxa" w:w="37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 xml:space="preserve">Contact or </w:t>
            </w:r>
            <w:smartTag w:element="place" w:uri="urn:schemas-microsoft-com:office:smarttags">
              <w:smartTag w:element="PlaceName" w:uri="urn:schemas-microsoft-com:office:smarttags">
                <w:r>
                  <w:rPr>
                    <w:rFonts w:ascii="Arial Narrow" w:hAnsi="Arial Narrow"/>
                    <w:color w:val="000000"/>
                    <w:sz w:val="12"/>
                  </w:rPr>
                  <w:t>Close</w:t>
                </w:r>
              </w:smartTag>
              <w:r>
                <w:rPr>
                  <w:rFonts w:ascii="Arial Narrow" w:hAnsi="Arial Narrow"/>
                  <w:color w:val="000000"/>
                  <w:sz w:val="12"/>
                </w:rPr>
                <w:t xml:space="preserve"> </w:t>
              </w:r>
              <w:smartTag w:element="PlaceType" w:uri="urn:schemas-microsoft-com:office:smarttags">
                <w:r>
                  <w:rPr>
                    <w:rFonts w:ascii="Arial Narrow" w:hAnsi="Arial Narrow"/>
                    <w:color w:val="000000"/>
                    <w:sz w:val="12"/>
                  </w:rPr>
                  <w:t>Range</w:t>
                </w:r>
              </w:smartTag>
            </w:smartTag>
          </w:p>
        </w:tc>
        <w:tc>
          <w:tcPr>
            <w:tcW w:type="dxa" w:w="412"/>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Analytical Lab</w:t>
            </w:r>
          </w:p>
        </w:tc>
        <w:tc>
          <w:tcPr>
            <w:tcW w:type="dxa" w:w="508"/>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Physical Form (Solid, Gas, Liquid)</w:t>
            </w:r>
          </w:p>
        </w:tc>
        <w:tc>
          <w:tcPr>
            <w:tcW w:type="dxa" w:w="67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Origin/Host Material</w:t>
            </w:r>
          </w:p>
        </w:tc>
        <w:tc>
          <w:tcPr>
            <w:tcW w:type="dxa" w:w="488"/>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Processing Required/ (Desired)</w:t>
            </w:r>
          </w:p>
        </w:tc>
        <w:tc>
          <w:tcPr>
            <w:tcW w:type="dxa" w:w="424"/>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Sample Mass/ Volume</w:t>
            </w:r>
          </w:p>
        </w:tc>
        <w:tc>
          <w:tcPr>
            <w:tcW w:type="dxa" w:w="696"/>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Distance to Target</w:t>
            </w:r>
          </w:p>
        </w:tc>
        <w:tc>
          <w:tcPr>
            <w:tcW w:type="dxa" w:w="69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Size of Area Probed/ FOV</w:t>
            </w:r>
          </w:p>
        </w:tc>
        <w:tc>
          <w:tcPr>
            <w:tcW w:type="dxa" w:w="452"/>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Target Feature Scale</w:t>
            </w:r>
          </w:p>
        </w:tc>
        <w:tc>
          <w:tcPr>
            <w:tcW w:type="dxa" w:w="48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Selectivity</w:t>
            </w:r>
          </w:p>
        </w:tc>
        <w:tc>
          <w:tcPr>
            <w:tcW w:type="dxa" w:w="50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Detection Limits</w:t>
            </w:r>
          </w:p>
        </w:tc>
        <w:tc>
          <w:tcPr>
            <w:tcW w:type="dxa" w:w="488"/>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Resolution</w:t>
            </w:r>
          </w:p>
        </w:tc>
        <w:tc>
          <w:tcPr>
            <w:tcW w:type="dxa" w:w="424"/>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Precision</w:t>
            </w:r>
          </w:p>
        </w:tc>
        <w:tc>
          <w:tcPr>
            <w:tcW w:type="dxa" w:w="48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smartTag w:element="place" w:uri="urn:schemas-microsoft-com:office:smarttags">
              <w:smartTag w:element="PlaceName" w:uri="urn:schemas-microsoft-com:office:smarttags">
                <w:r>
                  <w:rPr>
                    <w:rFonts w:ascii="Arial Narrow" w:hAnsi="Arial Narrow"/>
                    <w:color w:val="000000"/>
                    <w:sz w:val="12"/>
                  </w:rPr>
                  <w:t>Mass</w:t>
                </w:r>
              </w:smartTag>
              <w:r>
                <w:rPr>
                  <w:rFonts w:ascii="Arial Narrow" w:hAnsi="Arial Narrow"/>
                  <w:color w:val="000000"/>
                  <w:sz w:val="12"/>
                </w:rPr>
                <w:t xml:space="preserve"> </w:t>
              </w:r>
              <w:smartTag w:element="PlaceType" w:uri="urn:schemas-microsoft-com:office:smarttags">
                <w:r>
                  <w:rPr>
                    <w:rFonts w:ascii="Arial Narrow" w:hAnsi="Arial Narrow"/>
                    <w:color w:val="000000"/>
                    <w:sz w:val="12"/>
                  </w:rPr>
                  <w:t>Range</w:t>
                </w:r>
              </w:smartTag>
            </w:smartTag>
          </w:p>
        </w:tc>
        <w:tc>
          <w:tcPr>
            <w:tcW w:type="dxa" w:w="544"/>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Other</w:t>
            </w:r>
          </w:p>
        </w:tc>
        <w:tc>
          <w:tcPr>
            <w:tcW w:type="dxa" w:w="368"/>
            <w:tcBorders>
              <w:top w:color="auto" w:space="0" w:sz="1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Recent Surface Water</w:t>
            </w:r>
          </w:p>
        </w:tc>
        <w:tc>
          <w:tcPr>
            <w:tcW w:type="dxa" w:w="37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Hydrous Mineral Phases</w:t>
            </w:r>
          </w:p>
        </w:tc>
        <w:tc>
          <w:tcPr>
            <w:tcW w:type="dxa" w:w="424"/>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Organic Molecules</w:t>
            </w:r>
          </w:p>
        </w:tc>
        <w:tc>
          <w:tcPr>
            <w:tcW w:type="dxa" w:w="424"/>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Sedimen. Structures</w:t>
            </w:r>
          </w:p>
        </w:tc>
        <w:tc>
          <w:tcPr>
            <w:tcW w:type="dxa" w:w="39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Sedimen. Rocks</w:t>
            </w:r>
          </w:p>
        </w:tc>
        <w:tc>
          <w:tcPr>
            <w:tcW w:type="dxa" w:w="480"/>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Evidence for Fossil Life</w:t>
            </w:r>
          </w:p>
        </w:tc>
        <w:tc>
          <w:tcPr>
            <w:tcW w:type="dxa" w:w="412"/>
            <w:tcBorders>
              <w:top w:color="auto" w:space="0" w:sz="1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Microbes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6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stereo optical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targets, evidence of weathering, sedimentation, alteration, etc.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sedimentary rocks/ structures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1m - 10+km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10cm - 1+km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1,2,3,4</w:t>
            </w: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surface samples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10-100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1-10 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10cm-1m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distant sedimentary outcrops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10-100 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1-10 cm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 cm @ 1 km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VIS/NIR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 mineralogy, texture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mini TES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long focal length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distant sedimentary outcrops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cm-10m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ranging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distance to target</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boulders, vertical faces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spot</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100 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LIBS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boulders, slopes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1 - 25m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 spot</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ppmw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10%</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elements</w:t>
            </w:r>
          </w:p>
        </w:tc>
        <w:tc>
          <w:tcPr>
            <w:tcW w:type="dxa" w:w="544"/>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ablation</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ground penetrating radar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H2O, other</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subsurface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 - 10s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seismic sounding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H2O, other</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subsurface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neutron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hydrated minerals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drill 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gamma ray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any</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x-ray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any</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Raman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micro-Raman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 abr)</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&lt;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micro-LIBS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chips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&lt;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hand-lens-scale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phase texture/identity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0.1-10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grains</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optical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fine morphology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0.001-1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confocal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0.001-1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near-field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very high res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Mossbauer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Fe-bearing 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Fe-NMR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XRD/XRF</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drill 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pow</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mg's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 or grains</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FTIR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VCD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deep UV fluorescence</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identity, oxidation state, …</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pyrolysis/GCMS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and some mineralogical/inorganic composition; isotopes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mg-10's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derivatization</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less-tractable 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isotope ratio MS (IRMS)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 and other isotopes for bio-fractionation, age dating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7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compound-specific IRMS using sampling selectivity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gridSpan w:val="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cmpd isolated w/pyr, GC,or other proc.</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chiral GC</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enantiomeric excess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gas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circular dichroism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enantiomeric excess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liquid chromatography (LC)</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2D GCMS/TOF-MS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and some mineralogical/inorganic composition; isotopes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88"/>
        </w:trPr>
        <w:tc>
          <w:tcPr>
            <w:tcW w:type="dxa" w:w="142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electrospray ionization MS (ESI/IMS/CIT-MS)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1E2-1E3+</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contact w/ fluidized sample</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ablation 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local elemental/isotopic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ppbw-ppmw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LD/MALDI-TOF 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high-MW organics; some inorganic molecules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 (pow, 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surface/prep film</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fmol-pmol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1,2,4,7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REMPI-MS/RIMS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elements (trace)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very high (</w:t>
            </w:r>
            <w:r>
              <w:rPr>
                <w:color w:val="000000"/>
                <w:sz w:val="12"/>
              </w:rPr>
              <w:t>l</w:t>
            </w:r>
            <w:r>
              <w:rPr>
                <w:rFonts w:ascii="Arial" w:hAnsi="Arial"/>
                <w:color w:val="000000"/>
                <w:sz w:val="12"/>
              </w:rPr>
              <w:t xml:space="preserve"> abso</w:t>
            </w:r>
            <w:r>
              <w:rPr>
                <w:rFonts w:ascii="Arial" w:hAnsi="Arial"/>
                <w:color w:val="000000"/>
                <w:sz w:val="12"/>
              </w:rPr>
              <w:lastRenderedPageBreak/>
              <w:t>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s. atom - pmol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1E3</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AP-MALDI-MS (TOFMS or ITMS)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inorganic molec.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ices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fmol-nmol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1E3-1E5</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electrospray 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high-MW 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rocks/cores, fines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liq,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1E2-1E4</w:t>
            </w: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~1E4-1E5+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TOF-SIMS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50nm-50</w:t>
            </w:r>
            <w:r>
              <w:rPr>
                <w:color w:val="000000"/>
                <w:sz w:val="12"/>
              </w:rPr>
              <w:t>m</w:t>
            </w:r>
            <w:r>
              <w:rPr>
                <w:rFonts w:ascii="Arial" w:hAnsi="Arial"/>
                <w:color w:val="000000"/>
                <w:sz w:val="12"/>
              </w:rPr>
              <w:t>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~1E3-1E4</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ICP-MS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trace elements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 gas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 or grains</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pptw-ppbw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0.1-10%</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isotope ratios (~IRMS)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pptw-ppbw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AFM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nanoscale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 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chips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1nm-1</w:t>
            </w:r>
            <w:r>
              <w:rPr>
                <w:color w:val="000000"/>
                <w:sz w:val="12"/>
              </w:rPr>
              <w:t>m</w:t>
            </w:r>
            <w:r>
              <w:rPr>
                <w:rFonts w:ascii="Arial" w:hAnsi="Arial"/>
                <w:color w:val="000000"/>
                <w:sz w:val="12"/>
              </w:rPr>
              <w:t>m</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sub-micron</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TEM/SEM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nanoscale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chips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1nm-1</w:t>
            </w:r>
            <w:r>
              <w:rPr>
                <w:color w:val="000000"/>
                <w:sz w:val="12"/>
              </w:rPr>
              <w:t>m</w:t>
            </w:r>
            <w:r>
              <w:rPr>
                <w:rFonts w:ascii="Arial" w:hAnsi="Arial"/>
                <w:color w:val="000000"/>
                <w:sz w:val="12"/>
              </w:rPr>
              <w:t>m</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sub-micron</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image microbes in ice cores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XPS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comp. and bond state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Auger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bond state of elements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amino-acid sensors (eg MOD)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detection of amino acids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oxidant sensors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detection of oxidants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dry</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bio-assay chip lab</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Kda</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micro-array sensors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Kda</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MORD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fluorescence staining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SYBR gold, SYTO, DAPI nucleic acid stains for counting microbes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CTC, tetrazolium salt redox stains for individual cells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isotopic labelling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vertAlign w:val="superscript"/>
              </w:rPr>
              <w:t>14</w:t>
            </w:r>
            <w:r>
              <w:rPr>
                <w:rFonts w:ascii="Arial" w:hAnsi="Arial"/>
                <w:color w:val="000000"/>
                <w:sz w:val="12"/>
              </w:rPr>
              <w:t>CO</w:t>
            </w:r>
            <w:r>
              <w:rPr>
                <w:rFonts w:ascii="Arial" w:hAnsi="Arial"/>
                <w:color w:val="000000"/>
                <w:sz w:val="12"/>
                <w:vertAlign w:val="subscript"/>
              </w:rPr>
              <w:t>2</w:t>
            </w:r>
            <w:r>
              <w:rPr>
                <w:rFonts w:ascii="Arial" w:hAnsi="Arial"/>
                <w:color w:val="000000"/>
                <w:sz w:val="12"/>
              </w:rPr>
              <w:t xml:space="preserve"> or </w:t>
            </w:r>
            <w:r>
              <w:rPr>
                <w:rFonts w:ascii="Arial" w:hAnsi="Arial"/>
                <w:color w:val="000000"/>
                <w:sz w:val="12"/>
                <w:vertAlign w:val="superscript"/>
              </w:rPr>
              <w:t>3</w:t>
            </w:r>
            <w:r>
              <w:rPr>
                <w:rFonts w:ascii="Arial" w:hAnsi="Arial"/>
                <w:color w:val="000000"/>
                <w:sz w:val="12"/>
              </w:rPr>
              <w:t>H for total population activity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Lig</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flow-cytometry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If have required media</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culturing/cell-growth assays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If have required media</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ATP and LAL enzyme assays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DNA extraction/PCR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 cells</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with correct primers</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capillary electrophoresis (CE)</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microcalorimetry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24"/>
        </w:trPr>
        <w:tc>
          <w:tcPr>
            <w:tcW w:type="dxa" w:w="142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b/>
                <w:color w:val="000000"/>
                <w:sz w:val="12"/>
              </w:rPr>
            </w:pPr>
            <w:r>
              <w:rPr>
                <w:rFonts w:ascii="Arial" w:hAnsi="Arial"/>
                <w:b/>
                <w:color w:val="000000"/>
                <w:sz w:val="12"/>
              </w:rPr>
              <w:t>KEY:</w:t>
            </w:r>
          </w:p>
        </w:tc>
        <w:tc>
          <w:tcPr>
            <w:tcW w:type="dxa" w:w="126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 can be operated with no sample acquisition/processing</w:t>
            </w: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abr - abrasion to remove surface layers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 sample acquisition from host matl (via whatever means)</w:t>
            </w: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pow - powdering of solid sample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pos - sample positioning (e.g., manipulation to oven, point of focus or extraction)</w:t>
            </w: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 - vacuum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 - liquid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gas - gas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bl>
    <w:p>
      <w:r>
        <w:t>
</w:t>
        <w:t>
</w:t>
      </w:r>
    </w:p>
    <w:p>
      <w:pPr>
        <w:pStyle w:val=""/>
        <w:jc w:val="left"/>
      </w:pPr>
      <w:r>
        <w:rPr>
          <w:rFonts w:ascii="" w:hAnsi="" w:cs="" w:eastAsia=""/>
          <w:b w:val="false"/>
          <w:i w:val="false"/>
          <w:strike w:val="false"/>
          <w:color w:val=""/>
        </w:rPr>
        <w:t>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jpeg" Type="http://schemas.openxmlformats.org/officeDocument/2006/relationships/image"/>
<Relationship Id="rId4" Target="media/image2.jpeg" Type="http://schemas.openxmlformats.org/officeDocument/2006/relationships/image"/>
<Relationship Id="rId5" Target="media/image3.jpeg" Type="http://schemas.openxmlformats.org/officeDocument/2006/relationships/image"/>
<Relationship Id="rId6" Target="media/image4.jpeg" Type="http://schemas.openxmlformats.org/officeDocument/2006/relationships/image"/>
<Relationship Id="rId7" Target="media/image5.jpeg" Type="http://schemas.openxmlformats.org/officeDocument/2006/relationships/image"/>
<Relationship Id="rId8" Target="media/image6.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2018-05-14T17:51:29Z</dcterms:created>
  <dc:creator>Apache POI</dc:creator>
</cp:coreProperties>
</file>