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an official or proposed USP monograph must be included with data and </w:t>
      </w:r>
      <w:r>
        <w:rPr>
          <w:rFonts w:ascii="" w:hAnsi="" w:cs="" w:eastAsia=""/>
          <w:b w:val="false"/>
          <w:i w:val="false"/>
          <w:strike w:val="false"/>
          <w:color w:val=""/>
        </w:rPr>
        <w:t>info</w:t>
      </w:r>
      <w:r>
        <w:rPr>
          <w:rFonts w:ascii="" w:hAnsi="" w:cs="" w:eastAsia=""/>
          <w:b w:val="false"/>
          <w:i w:val="false"/>
          <w:strike w:val="false"/>
          <w:color w:val=""/>
        </w:rPr>
        <w:t>rmation demonstrating the safety and effectiveness of this ingredient, in accordance with 21 CFR 330.14(i)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safety and effectiveness data are required for bemotrizinol as a single active ingredient and bemotrizinol in combination with GRASE active ingredients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2018-05-14T17:51:36Z</dcterms:created>
  <dc:creator>Apache POI</dc:creator>
</cp:coreProperties>
</file>