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BodyTextIndent"/>
        <w:jc w:val="center"/>
      </w:pPr>
    </w:p>
    <w:p>
      <w:pPr>
        <w:pStyle w:val="BodyTextIndent"/>
        <w:jc w:val="center"/>
      </w:pPr>
    </w:p>
    <w:p>
      <w:pPr>
        <w:pStyle w:val="BodyTextIndent"/>
        <w:jc w:val="center"/>
      </w:pPr>
    </w:p>
    <w:p>
      <w:pPr>
        <w:pStyle w:val="Title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698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  <w:rPr>
                <w:b/>
              </w:rPr>
            </w:pPr>
            <w:r>
              <w:rPr>
                <w:b/>
              </w:rPr>
              <w:t>CONDITIONS</w:t>
            </w:r>
          </w:p>
        </w:tc>
        <w:tc>
          <w:tcPr>
            <w:tcW w:type="dxa" w:w="4770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Bemotrizinol, at a maximum concentration of 10 percent, as a single active ingredient and in combination with other sunscreen active ingredients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698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  <w:rPr>
                <w:b/>
              </w:rPr>
            </w:pPr>
          </w:p>
        </w:tc>
        <w:tc>
          <w:tcPr>
            <w:tcW w:type="dxa" w:w="4770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698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  <w:rPr>
                <w:b/>
              </w:rPr>
            </w:pPr>
            <w:r>
              <w:rPr>
                <w:b/>
              </w:rPr>
              <w:t>PHARMACOLOGICAL CLASS</w:t>
            </w:r>
          </w:p>
        </w:tc>
        <w:tc>
          <w:tcPr>
            <w:tcW w:type="dxa" w:w="4770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UVA and UVB sunscreen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MONOGRAPH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OTC Sunscreen Drug Products (21 CFR part 352)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APPLICANT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Ciba Specialty Chemicals Corporation</w:t>
            </w:r>
          </w:p>
          <w:p w:rsidP="00FC75E1" w:rsidR="007E61F9" w:rsidRDefault="007E61F9">
            <w:pPr>
              <w:pStyle w:val="Header"/>
              <w:tabs>
                <w:tab w:pos="4320" w:val="clear"/>
                <w:tab w:pos="8640" w:val="clear"/>
              </w:tabs>
            </w:pPr>
            <w:r>
              <w:t>Home and Personal Care Business Line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4090 Premier Drive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High Point, NC 27265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SUBMISSION DATE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April 11, 2005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RECEIVED DATE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April 12, 2005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REVIEW DATE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April 17, 2005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Michael L. Koenig, Ph.D.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r>
              <w:t>Matthew R. Holman, Ph.D.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4734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>
            <w:pPr>
              <w:rPr>
                <w:b/>
              </w:rPr>
            </w:pPr>
          </w:p>
        </w:tc>
        <w:tc>
          <w:tcPr>
            <w:tcW w:type="dxa" w:w="4734"/>
            <w:tcBorders>
              <w:top w:val="nil"/>
              <w:left w:val="nil"/>
              <w:bottom w:val="nil"/>
              <w:right w:val="nil"/>
            </w:tcBorders>
          </w:tcPr>
          <w:p w:rsidP="00FC75E1" w:rsidR="007E61F9" w:rsidRDefault="007E61F9"/>
        </w:tc>
      </w:tr>
    </w:tbl>
    <w:p>
      <w:r>
        <w:t>
</w:t>
        <w:t>
</w:t>
      </w: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blPrEx>
          <w:tblCellMar>
            <w:top w:type="dxa" w:w="0"/>
            <w:bottom w:type="dxa" w:w="0"/>
          </w:tblCellMar>
        </w:tblPrEx>
        <w:tc>
          <w:tcPr>
            <w:tcW w:type="dxa" w:w="9576"/>
          </w:tcPr>
          <w:tbl>
            <w:tblPr>
              <w:tblW w:type="auto" w:w="0"/>
              <w:jc w:val="center"/>
              <w:tblBorders>
                <w:top w:color="auto" w:space="0" w:sz="12" w:val="single"/>
                <w:left w:color="auto" w:space="0" w:sz="12" w:val="single"/>
                <w:bottom w:color="auto" w:space="0" w:sz="12" w:val="single"/>
                <w:right w:color="auto" w:space="0" w:sz="12" w:val="single"/>
                <w:insideH w:color="auto" w:space="0" w:sz="4" w:val="single"/>
                <w:insideV w:color="auto" w:space="0" w:sz="4" w:val="single"/>
              </w:tblBorders>
              <w:tblLook w:firstColumn="1" w:firstRow="1" w:lastColumn="1" w:lastRow="1" w:noHBand="0" w:noVBand="0" w:val="01E0"/>
            </w:tblPr>
            <w:tblGrid>
              <w:gridCol w:w="2471"/>
              <w:gridCol w:w="5711"/>
            </w:tblGrid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Continent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pPr>
                    <w:rPr>
                      <w:b/>
                    </w:rPr>
                  </w:pPr>
                  <w:r>
                    <w:rPr>
                      <w:b/>
                    </w:rPr>
                    <w:t>Countries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Africa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South Africa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Asia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China, Hong Kong, India, Indonesia, Korea, Malaysia, Philippines, Taiwan, Thailand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Australia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Australia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Europe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 xml:space="preserve">Austria, Belgium, </w:t>
                  </w:r>
                  <w:r>
                    <w:rPr>
                      <w:b/>
                    </w:rPr>
                    <w:t>France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 xml:space="preserve">, </w:t>
                  </w:r>
                  <w:r>
                    <w:rPr>
                      <w:b/>
                    </w:rPr>
                    <w:t>Germany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 xml:space="preserve">, </w:t>
                  </w:r>
                  <w:r>
                    <w:rPr>
                      <w:b/>
                    </w:rPr>
                    <w:t>Greece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 xml:space="preserve">, Israel, </w:t>
                  </w:r>
                  <w:r>
                    <w:rPr>
                      <w:b/>
                    </w:rPr>
                    <w:t>Italy</w:t>
                  </w:r>
                  <w:r>
                    <w:t xml:space="preserve">, Poland, Slovenia, </w:t>
                  </w:r>
                  <w:r>
                    <w:rPr>
                      <w:b/>
                    </w:rPr>
                    <w:t>Spain</w:t>
                  </w:r>
                  <w:r>
                    <w:t xml:space="preserve">, Sweden, </w:t>
                  </w:r>
                  <w:r>
                    <w:rPr>
                      <w:b/>
                    </w:rPr>
                    <w:t>Switzerland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>, United Kingdom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North America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>Mexico</w:t>
                  </w:r>
                </w:p>
              </w:tc>
            </w:tr>
            <w:tr w:rsidR="007E61F9" w:rsidTr="00FC75E1">
              <w:trPr>
                <w:jc w:val="center"/>
              </w:trPr>
              <w:tc>
                <w:tcPr>
                  <w:tcW w:type="dxa" w:w="2471"/>
                </w:tcPr>
                <w:p w:rsidP="00FC75E1" w:rsidR="007E61F9" w:rsidRDefault="007E61F9">
                  <w:r>
                    <w:t>South America</w:t>
                  </w:r>
                </w:p>
              </w:tc>
              <w:tc>
                <w:tcPr>
                  <w:tcW w:type="dxa" w:w="5711"/>
                </w:tcPr>
                <w:p w:rsidP="00FC75E1" w:rsidR="007E61F9" w:rsidRDefault="007E61F9">
                  <w:r>
                    <w:t xml:space="preserve">Argentina, Bolivia, </w:t>
                  </w:r>
                  <w:r>
                    <w:rPr>
                      <w:b/>
                    </w:rPr>
                    <w:t>Brazil</w:t>
                  </w:r>
                  <w:r>
                    <w:rPr>
                      <w:b/>
                      <w:szCs w:val="24"/>
                      <w:vertAlign w:val="superscript"/>
                    </w:rPr>
                    <w:t>1</w:t>
                  </w:r>
                  <w:r>
                    <w:t>, Chile, Columbia, Ecuador</w:t>
                  </w:r>
                </w:p>
              </w:tc>
            </w:tr>
          </w:tbl>
          <w:p w:rsidP="00FC75E1" w:rsidR="007E61F9" w:rsidRDefault="007E61F9"/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567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842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Region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Estimated total sales</w:t>
            </w:r>
          </w:p>
          <w:p w:rsidP="00FC75E1" w:rsidR="007E61F9" w:rsidRDefault="007E61F9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(million dosage units)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427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Europe (6 countries)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ind w:left="702"/>
              <w:rPr>
                <w:szCs w:val="24"/>
              </w:rPr>
            </w:pPr>
            <w:r>
              <w:rPr>
                <w:szCs w:val="24"/>
              </w:rPr>
              <w:t xml:space="preserve">  99.8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427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South America (1 country)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ind w:left="702"/>
              <w:rPr>
                <w:szCs w:val="24"/>
              </w:rPr>
            </w:pPr>
            <w:r>
              <w:rPr>
                <w:szCs w:val="24"/>
              </w:rPr>
              <w:t xml:space="preserve">  20.3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7E61F9" w:rsidTr="00FC75E1">
        <w:trPr>
          <w:trHeight w:val="427"/>
        </w:trPr>
        <w:tc>
          <w:tcPr>
            <w:tcW w:type="dxa" w:w="3060"/>
          </w:tcPr>
          <w:p w:rsidP="00FC75E1" w:rsidR="007E61F9" w:rsidRDefault="007E61F9">
            <w:pPr>
              <w:spacing w:line="360" w:lineRule="auto"/>
              <w:rPr>
                <w:szCs w:val="24"/>
              </w:rPr>
            </w:pPr>
            <w:r>
              <w:rPr>
                <w:b/>
                <w:szCs w:val="24"/>
              </w:rPr>
              <w:t>Total</w:t>
            </w:r>
            <w:r>
              <w:rPr>
                <w:szCs w:val="24"/>
              </w:rPr>
              <w:t xml:space="preserve"> (7 countries)</w:t>
            </w:r>
          </w:p>
        </w:tc>
        <w:tc>
          <w:tcPr>
            <w:tcW w:type="dxa" w:w="2610"/>
          </w:tcPr>
          <w:p w:rsidP="00FC75E1" w:rsidR="007E61F9" w:rsidRDefault="007E61F9">
            <w:pPr>
              <w:spacing w:line="360" w:lineRule="auto"/>
              <w:ind w:left="702"/>
              <w:rPr>
                <w:b/>
                <w:szCs w:val="24"/>
              </w:rPr>
            </w:pPr>
            <w:r>
              <w:rPr>
                <w:b/>
                <w:szCs w:val="24"/>
              </w:rPr>
              <w:t>120.1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>info</w:t>
      </w:r>
      <w:r>
        <w:rPr>
          <w:rFonts w:ascii="" w:hAnsi="" w:cs="" w:eastAsia=""/>
          <w:b w:val="false"/>
          <w:i w:val="false"/>
          <w:strike w:val="false"/>
          <w:color w:val=""/>
        </w:rPr>
        <w:t>rmation demonstrating the safety and effectiveness of this ingredient, in accordance with 21 CFR 330.14(i)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safety and effectiveness data are required for bemotrizinol as a single active ingredient and bemotrizinol in combination with GRASE active ingredients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2018-05-14T17:51:36Z</dcterms:created>
  <dc:creator>Apache POI</dc:creator>
</cp:coreProperties>
</file>