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REVIEWER’S COMMENTS</w:t>
      </w:r>
    </w:p>
    <w:p>
      <w:pPr>
        <w:pStyle w:val=""/>
        <w:jc w:val="left"/>
      </w:pPr>
      <w:r>
        <w:rPr>
          <w:rFonts w:ascii="" w:hAnsi="" w:cs="" w:eastAsia=""/>
          <w:b w:val="false"/>
          <w:i w:val="false"/>
          <w:strike w:val="false"/>
          <w:color w:val=""/>
        </w:rPr>
        <w:t xml:space="preserve">The applicant has provided basic </w:t>
      </w:r>
      <w:r>
        <w:rPr>
          <w:rFonts w:ascii="" w:hAnsi="" w:cs="" w:eastAsia=""/>
          <w:b w:val="false"/>
          <w:i w:val="false"/>
          <w:strike w:val="false"/>
          <w:color w:val=""/>
        </w:rPr>
        <w:t>info</w:t>
      </w:r>
      <w:r>
        <w:rPr>
          <w:rFonts w:ascii="" w:hAnsi="" w:cs="" w:eastAsia=""/>
          <w:b w:val="false"/>
          <w:i w:val="false"/>
          <w:strike w:val="false"/>
          <w:color w:val=""/>
        </w:rPr>
        <w:t>rmation about bemotrizinol including a detailed chemical description as required in 21 CFR 330.14(c)(1)(i).  Although bemotrizinol is not included in the U.S. Pharmacopeia (USP)-National Formulary (NF), the applicant submitted a draft monograph to the USP on July 23, 2004.  According to the applicant, USP is currently reviewing the draft monograph.</w:t>
      </w:r>
    </w:p>
    <w:p>
      <w:pPr>
        <w:pStyle w:val=""/>
        <w:jc w:val="left"/>
      </w:pPr>
      <w:r>
        <w:rPr>
          <w:rFonts w:ascii="" w:hAnsi="" w:cs="" w:eastAsia=""/>
          <w:b w:val="false"/>
          <w:i w:val="false"/>
          <w:strike w:val="false"/>
          <w:color w:val=""/>
        </w:rPr>
        <w:t xml:space="preserve">Bemotrizinol has been marketed for varying lengths of time in 31 countries on every continent except Antarctica and for at least 5 continuous years in 5 of these countries.  The applicant has </w:t>
      </w:r>
      <w:r>
        <w:rPr>
          <w:rFonts w:ascii="" w:hAnsi="" w:cs="" w:eastAsia=""/>
          <w:b w:val="false"/>
          <w:i w:val="false"/>
          <w:strike w:val="false"/>
          <w:color w:val=""/>
        </w:rPr>
        <w:t xml:space="preserve">selected 7 countries to serve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