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Heading5"/>
        <w:jc w:val="left"/>
      </w:pPr>
    </w:p>
    <w:p>
      <w:pPr>
        <w:pStyle w:val=""/>
        <w:jc w:val="center"/>
      </w:pPr>
    </w:p>
    <w:p>
      <w:pPr>
        <w:pStyle w:val=""/>
        <w:jc w:val="center"/>
      </w:pPr>
    </w:p>
    <w:p>
      <w:pPr>
        <w:pStyle w:val=""/>
        <w:jc w:val="center"/>
      </w:pPr>
    </w:p>
    <w:p>
      <w:pPr>
        <w:pStyle w:val=""/>
        <w:jc w:val="center"/>
      </w:pPr>
    </w:p>
    <w:p>
      <w:pPr>
        <w:pStyle w:val=""/>
        <w:jc w:val="both"/>
      </w:pPr>
    </w:p>
    <w:p>
      <w:pPr>
        <w:pStyle w:val=""/>
        <w:jc w:val="center"/>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center"/>
      </w:pPr>
    </w:p>
    <w:p>
      <w:pPr>
        <w:pStyle w:val="BodyText"/>
        <w:jc w:val="both"/>
      </w:pPr>
    </w:p>
    <w:p>
      <w:pPr>
        <w:pStyle w:val="BodyText2"/>
        <w:jc w:val="left"/>
      </w:pPr>
    </w:p>
    <w:p>
      <w:pPr>
        <w:pStyle w:val="BodyText2"/>
        <w:jc w:val="left"/>
      </w:pPr>
    </w:p>
    <w:p>
      <w:pPr>
        <w:pStyle w:val=""/>
        <w:jc w:val="both"/>
      </w:pPr>
    </w:p>
    <w:p>
      <w:pPr>
        <w:pStyle w:val="Heading3"/>
        <w:jc w:val="left"/>
      </w:pPr>
    </w:p>
    <w:p>
      <w:pPr>
        <w:pStyle w:val=""/>
        <w:jc w:val="both"/>
      </w:pPr>
    </w:p>
    <w:p>
      <w:pPr>
        <w:pStyle w:val=""/>
        <w:jc w:val="both"/>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true"/>
          <w:i w:val="false"/>
          <w:strike w:val="false"/>
          <w:color w:val=""/>
        </w:rPr>
        <w:t/>
      </w:r>
      <w:r>
        <w:rPr>
          <w:rFonts w:ascii="" w:hAnsi="" w:cs="" w:eastAsia=""/>
          <w:b w:val="false"/>
          <w:i w:val="false"/>
          <w:strike w:val="false"/>
          <w:color w:val=""/>
        </w:rPr>
        <w:t>.  Total child support collections were $14.3 billion for fiscal year 1998 (Table 1).  This was a 7.4 percent increase in collections over fiscal year 1997.  Non-TANF collections were almost $11.7 billion in fiscal year 1998, an increase of 11.2 percent over fiscal year 1997.  TANF collections were $2.6 billion and shows a 6.8 percent decrease which was most likely due to the decreasing TANF caseload.  However, most of the TANF cases became non-TANF cases.</w:t>
      </w:r>
    </w:p>
    <w:p>
      <w:pPr>
        <w:pStyle w:val=""/>
        <w:jc w:val="both"/>
      </w:pPr>
      <w:r>
        <w:rPr>
          <w:rFonts w:ascii="" w:hAnsi="" w:cs="" w:eastAsia=""/>
          <w:b w:val="true"/>
          <w:i w:val="false"/>
          <w:strike w:val="false"/>
          <w:color w:val=""/>
        </w:rPr>
        <w:t>Collections per Full-Time Equivalent Staff</w:t>
      </w:r>
      <w:r>
        <w:rPr>
          <w:rFonts w:ascii="" w:hAnsi="" w:cs="" w:eastAsia=""/>
          <w:b w:val="false"/>
          <w:i w:val="false"/>
          <w:strike w:val="false"/>
          <w:color w:val=""/>
        </w:rPr>
        <w:t>.  Nationally, the amount of child support collected per full-time equivalent staff (FTE) was $259,452 in fiscal year 1998 (Table 7).  There was less than a 1 percent increase from the $259,152 collected per FTE in fiscal year 1997.  There was 55,300 FTE staff in fiscal year 1998.</w:t>
      </w:r>
    </w:p>
    <w:p>
      <w:pPr>
        <w:pStyle w:val=""/>
        <w:jc w:val="both"/>
      </w:pPr>
      <w:r>
        <w:rPr>
          <w:rFonts w:ascii="" w:hAnsi="" w:cs="" w:eastAsia=""/>
          <w:b w:val="true"/>
          <w:i w:val="false"/>
          <w:strike w:val="false"/>
          <w:color w:val=""/>
        </w:rPr>
        <w:t>Expenditures</w:t>
      </w:r>
      <w:r>
        <w:rPr>
          <w:rFonts w:ascii="" w:hAnsi="" w:cs="" w:eastAsia=""/>
          <w:b w:val="false"/>
          <w:i w:val="false"/>
          <w:strike w:val="false"/>
          <w:color w:val=""/>
        </w:rPr>
        <w:t xml:space="preserve">.  The cost of running the Child Support Enforcement program </w:t>
      </w:r>
    </w:p>
    <w:p>
      <w:pPr>
        <w:pStyle w:val=""/>
        <w:jc w:val="both"/>
      </w:pPr>
      <w:r>
        <w:rPr>
          <w:rFonts w:ascii="" w:hAnsi="" w:cs="" w:eastAsia=""/>
          <w:b w:val="false"/>
          <w:i w:val="false"/>
          <w:strike w:val="false"/>
          <w:color w:val=""/>
        </w:rPr>
        <w:t>increased during the last fiscal year.  In fiscal year 1998, total administrative expenditures were up 4.6 percent to $3.6 billion.  Total Automated Data Processing  (ADP) costs for developing and implementing automated statewide child support enforcement systems decreased by 10 percent since fiscal year 1997.</w:t>
      </w:r>
      <w:r>
        <w:rPr>
          <w:rFonts w:ascii="" w:hAnsi="" w:cs="" w:eastAsia=""/>
          <w:b w:val="true"/>
          <w:i w:val="false"/>
          <w:strike w:val="false"/>
          <w:color w:val=""/>
        </w:rPr>
        <w:t xml:space="preserve"> </w:t>
      </w:r>
      <w:r>
        <w:rPr>
          <w:rFonts w:ascii="" w:hAnsi="" w:cs="" w:eastAsia=""/>
          <w:b w:val="false"/>
          <w:i w:val="false"/>
          <w:strike w:val="false"/>
          <w:color w:val=""/>
        </w:rPr>
        <w:t xml:space="preserve">  In fiscal year 1998, $524 million was spent on ADP.</w:t>
      </w:r>
    </w:p>
    <w:p>
      <w:pPr>
        <w:pStyle w:val=""/>
        <w:jc w:val="both"/>
      </w:pPr>
      <w:r>
        <w:rPr>
          <w:rFonts w:ascii="" w:hAnsi="" w:cs="" w:eastAsia=""/>
          <w:b w:val="true"/>
          <w:i w:val="false"/>
          <w:strike w:val="false"/>
          <w:color w:val=""/>
        </w:rPr>
        <w:t xml:space="preserve">Accounts Receivable.  </w:t>
      </w:r>
      <w:r>
        <w:rPr>
          <w:rFonts w:ascii="" w:hAnsi="" w:cs="" w:eastAsia=""/>
          <w:b w:val="false"/>
          <w:i w:val="false"/>
          <w:strike w:val="false"/>
          <w:color w:val=""/>
        </w:rPr>
        <w:t xml:space="preserve">The total amount of current support due for fiscal year 1998 was $13.7 billion.  About 50.7 percent or $6.9 billion of that amount was collected (Table 8).  A total of 3.5 million current support orders had collections out of the 5.7 million orders with collections due (Table 9).  Of prior year support due, $2.4 billion or 7.8 percent was collected (Table 10). </w:t>
      </w:r>
    </w:p>
    <w:p>
      <w:pPr>
        <w:pStyle w:val=""/>
        <w:jc w:val="both"/>
      </w:pPr>
      <w:r>
        <w:rPr>
          <w:rFonts w:ascii="" w:hAnsi="" w:cs="" w:eastAsia=""/>
          <w:b w:val="true"/>
          <w:i w:val="false"/>
          <w:strike w:val="false"/>
          <w:color w:val=""/>
        </w:rPr>
        <w:t>Other Statistics</w:t>
      </w:r>
      <w:r>
        <w:rPr>
          <w:rFonts w:ascii="" w:hAnsi="" w:cs="" w:eastAsia=""/>
          <w:b w:val="false"/>
          <w:i w:val="false"/>
          <w:strike w:val="false"/>
          <w:color w:val=""/>
        </w:rPr>
        <w:t>.  Program increases were also noted for total cases in which a collection was made and locations made -- up 7.2 percent and 1.8 percent, respectively (Table 5).  The total collections made on behalf of other States for fiscal year 1998 was $1.1 billion, $333 million for TANF/FC, and $729 million for non-TANF (Table 12).  Cost-effectiveness ratios have increased by 2.7 percent since the previous year (Table 1).</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SOURCE:</w:t>
      </w:r>
      <w:r>
        <w:rPr>
          <w:rFonts w:ascii="" w:hAnsi="" w:cs="" w:eastAsia=""/>
          <w:b w:val="false"/>
          <w:i w:val="false"/>
          <w:strike w:val="false"/>
          <w:color w:val="000000"/>
          <w:sz w:val="16"/>
        </w:rPr>
        <w:t>OCSE-396A and 34A</w:t>
      </w:r>
    </w:p>
    <w:p>
      <w:pPr>
        <w:pStyle w:val=""/>
        <w:jc w:val="left"/>
      </w:pPr>
      <w:r>
        <w:rPr>
          <w:rFonts w:ascii="" w:hAnsi="" w:cs="" w:eastAsia=""/>
          <w:b w:val="false"/>
          <w:i w:val="false"/>
          <w:strike w:val="false"/>
          <w:color w:val="000000"/>
          <w:sz w:val="16"/>
        </w:rPr>
        <w:t xml:space="preserve">  NOTE:</w:t>
      </w:r>
      <w:r>
        <w:rPr>
          <w:rFonts w:ascii="" w:hAnsi="" w:cs="" w:eastAsia=""/>
          <w:b w:val="false"/>
          <w:i w:val="false"/>
          <w:strike w:val="false"/>
          <w:color w:val="000000"/>
          <w:sz w:val="16"/>
        </w:rPr>
        <w:t xml:space="preserve">  Data for fiscal year 1998 are preliminary. The cost-effectiveness ratio is total collections per dollar of total administrative expenditures, not the cost-effectiveness ratio used to calculate incentives.  </w:t>
      </w:r>
    </w:p>
    <w:p>
      <w:pPr>
        <w:pStyle w:val=""/>
        <w:jc w:val="left"/>
      </w:pPr>
      <w:r>
        <w:rPr>
          <w:rFonts w:ascii="" w:hAnsi="" w:cs="" w:eastAsia=""/>
          <w:b w:val="false"/>
          <w:i w:val="false"/>
          <w:strike w:val="false"/>
          <w:color w:val="000000"/>
          <w:sz w:val="16"/>
        </w:rPr>
        <w:t>* Fiscal years 97 &amp; 98 administrative expenditure data are estimated.  State and Federal share expenditures are still being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SOURCE:</w:t>
      </w:r>
      <w:r>
        <w:rPr>
          <w:rFonts w:ascii="" w:hAnsi="" w:cs="" w:eastAsia=""/>
          <w:b w:val="false"/>
          <w:i w:val="false"/>
          <w:strike w:val="false"/>
          <w:color w:val="000000"/>
          <w:sz w:val="14"/>
        </w:rPr>
        <w:t>OCSE-156 report</w:t>
      </w:r>
    </w:p>
    <w:p>
      <w:pPr>
        <w:pStyle w:val=""/>
        <w:jc w:val="left"/>
      </w:pPr>
      <w:r>
        <w:rPr>
          <w:rFonts w:ascii="" w:hAnsi="" w:cs="" w:eastAsia=""/>
          <w:b w:val="false"/>
          <w:i w:val="false"/>
          <w:strike w:val="false"/>
          <w:color w:val="000000"/>
          <w:sz w:val="14"/>
        </w:rPr>
        <w:t xml:space="preserve">NOTE: </w:t>
      </w:r>
      <w:r>
        <w:rPr>
          <w:rFonts w:ascii="" w:hAnsi="" w:cs="" w:eastAsia=""/>
          <w:b w:val="false"/>
          <w:i w:val="false"/>
          <w:strike w:val="false"/>
          <w:color w:val="000000"/>
          <w:sz w:val="14"/>
        </w:rPr>
        <w:t xml:space="preserve">Some States voluntarily report in-hospital information to OCSE.  In-hospital numbers include an unknown number of  acknowledgements for </w:t>
      </w:r>
    </w:p>
    <w:p>
      <w:pPr>
        <w:pStyle w:val="BodyText3"/>
        <w:jc w:val="left"/>
      </w:pPr>
      <w:r>
        <w:rPr>
          <w:rFonts w:ascii="" w:hAnsi="" w:cs="" w:eastAsia=""/>
          <w:b w:val="false"/>
          <w:i w:val="false"/>
          <w:strike w:val="false"/>
          <w:color w:val=""/>
        </w:rPr>
        <w:t xml:space="preserve">children in the IV-D caseload.  Data for fiscal year 1998 are preliminary.  The Temporary Assistance for Needy Families (TANF)  replaces the former AFDC program.  The TANF  program came under  the welfare reform legislation signed in 1996. </w:t>
      </w:r>
    </w:p>
    <w:p>
      <w:pPr>
        <w:pStyle w:val="FootnoteText"/>
        <w:jc w:val="left"/>
      </w:pPr>
      <w:r>
        <w:rPr>
          <w:rFonts w:ascii="Helv" w:hAnsi="Helv" w:cs="Helv" w:eastAsia="Helv"/>
          <w:b w:val="true"/>
          <w:i w:val="false"/>
          <w:strike w:val="false"/>
          <w:color w:val="000000"/>
          <w:sz w:val="16"/>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w:t>
      </w:r>
    </w:p>
    <w:p>
      <w:pPr>
        <w:pStyle w:val="FootnoteText"/>
        <w:jc w:val="left"/>
      </w:pPr>
      <w:r>
        <w:rPr>
          <w:rFonts w:ascii="Times New Roman" w:hAnsi="Times New Roman" w:cs="Times New Roman" w:eastAsia="Times New Roman"/>
          <w:b w:val="false"/>
          <w:i w:val="false"/>
          <w:strike w:val="false"/>
          <w:color w:val=""/>
          <w:sz w:val="14"/>
        </w:rPr>
        <w:t xml:space="preserve">  total  number of orders established do  not include those for Tennessee.</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xml:space="preserve"> </w:t>
      </w:r>
      <w:r>
        <w:rPr>
          <w:rFonts w:ascii="" w:hAnsi="" w:cs="" w:eastAsia=""/>
          <w:b w:val="false"/>
          <w:i w:val="false"/>
          <w:strike w:val="false"/>
          <w:color w:val="000000"/>
          <w:sz w:val="16"/>
        </w:rPr>
        <w:t>SOURCE:</w:t>
      </w:r>
      <w:r>
        <w:rPr>
          <w:rFonts w:ascii="" w:hAnsi="" w:cs="" w:eastAsia=""/>
          <w:b w:val="false"/>
          <w:i w:val="false"/>
          <w:strike w:val="false"/>
          <w:color w:val="000000"/>
          <w:sz w:val="16"/>
        </w:rPr>
        <w:t>OCSE-34A and 396A reports</w:t>
      </w:r>
    </w:p>
    <w:p>
      <w:pPr>
        <w:pStyle w:val=""/>
        <w:jc w:val="left"/>
      </w:pPr>
      <w:r>
        <w:rPr>
          <w:rFonts w:ascii="" w:hAnsi="" w:cs="" w:eastAsia=""/>
          <w:b w:val="false"/>
          <w:i w:val="false"/>
          <w:strike w:val="false"/>
          <w:color w:val="000000"/>
          <w:sz w:val="16"/>
        </w:rPr>
        <w:t>NOTE:</w:t>
      </w:r>
      <w:r>
        <w:rPr>
          <w:rFonts w:ascii="" w:hAnsi="" w:cs="" w:eastAsia=""/>
          <w:b w:val="false"/>
          <w:i w:val="false"/>
          <w:strike w:val="false"/>
          <w:color w:val="000000"/>
          <w:sz w:val="16"/>
        </w:rPr>
        <w:t>Data for fiscal year 1998 are preliminary.</w:t>
      </w:r>
    </w:p>
    <w:p>
      <w:pPr>
        <w:pStyle w:val=""/>
        <w:jc w:val="left"/>
      </w:pPr>
      <w:r>
        <w:rPr>
          <w:rFonts w:ascii="" w:hAnsi="" w:cs="" w:eastAsia=""/>
          <w:b w:val="false"/>
          <w:i w:val="false"/>
          <w:strike w:val="false"/>
          <w:color w:val="000000"/>
          <w:sz w:val="16"/>
        </w:rPr>
        <w:t>*Fiscal year 98 administrative expenditure data is estimated.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4"/>
        </w:rPr>
        <w:t>SOURCE:</w:t>
      </w:r>
      <w:r>
        <w:rPr>
          <w:rFonts w:ascii="" w:hAnsi="" w:cs="" w:eastAsia=""/>
          <w:b w:val="false"/>
          <w:i w:val="false"/>
          <w:strike w:val="false"/>
          <w:color w:val=""/>
          <w:sz w:val="14"/>
        </w:rPr>
        <w:t>OCSE-156 report</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
          <w:sz w:val="14"/>
        </w:rPr>
        <w:t xml:space="preserve">       </w:t>
      </w:r>
      <w:r>
        <w:rPr>
          <w:rFonts w:ascii="Times New Roman" w:hAnsi="Times New Roman" w:cs="Times New Roman" w:eastAsia="Times New Roman"/>
          <w:b w:val="false"/>
          <w:i w:val="false"/>
          <w:strike w:val="false"/>
          <w:color w:val=""/>
          <w:sz w:val="16"/>
        </w:rPr>
        <w:t>*</w:t>
      </w:r>
      <w:r>
        <w:rPr>
          <w:rFonts w:ascii="Times New Roman" w:hAnsi="Times New Roman" w:cs="Times New Roman" w:eastAsia="Times New Roman"/>
          <w:b w:val="false"/>
          <w:i w:val="false"/>
          <w:strike w:val="false"/>
          <w:color w:val=""/>
          <w:sz w:val="14"/>
        </w:rPr>
        <w:t xml:space="preserve"> Includes in-hospital paternity acknowledgements for States reporting such information.</w:t>
      </w:r>
      <w:r>
        <w:rPr>
          <w:rFonts w:ascii="Times New Roman" w:hAnsi="Times New Roman" w:cs="Times New Roman" w:eastAsia="Times New Roman"/>
          <w:b w:val="false"/>
          <w:i w:val="false"/>
          <w:strike w:val="false"/>
          <w:color w:val=""/>
          <w:sz w:val="16"/>
        </w:rPr>
        <w:t xml:space="preserve"> </w:t>
      </w:r>
    </w:p>
    <w:p>
      <w:pPr>
        <w:pStyle w:val="FootnoteText"/>
        <w:jc w:val="left"/>
      </w:pPr>
      <w:r>
        <w:rPr>
          <w:rFonts w:ascii="Times New Roman" w:hAnsi="Times New Roman" w:cs="Times New Roman" w:eastAsia="Times New Roman"/>
          <w:b w:val="false"/>
          <w:i w:val="false"/>
          <w:strike w:val="false"/>
          <w:color w:val=""/>
          <w:sz w:val="16"/>
        </w:rPr>
        <w:t xml:space="preserve"> ** </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w:t>
      </w:r>
    </w:p>
    <w:p>
      <w:pPr>
        <w:pStyle w:val="FootnoteText"/>
        <w:jc w:val="left"/>
      </w:pPr>
      <w:r>
        <w:rPr>
          <w:rFonts w:ascii="Times New Roman" w:hAnsi="Times New Roman" w:cs="Times New Roman" w:eastAsia="Times New Roman"/>
          <w:b w:val="false"/>
          <w:i w:val="false"/>
          <w:strike w:val="false"/>
          <w:color w:val=""/>
          <w:sz w:val="14"/>
        </w:rPr>
        <w:t>the total  number of orders established do not  include those for Tennessee.</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xml:space="preserve">SOURCE: </w:t>
      </w:r>
      <w:r>
        <w:rPr>
          <w:rFonts w:ascii="" w:hAnsi="" w:cs="" w:eastAsia=""/>
          <w:b w:val="false"/>
          <w:i w:val="false"/>
          <w:strike w:val="false"/>
          <w:color w:val=""/>
          <w:sz w:val="14"/>
        </w:rPr>
        <w:t>Financial and statistical data as reported by the States.</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000000"/>
          <w:sz w:val="14"/>
        </w:rPr>
        <w:t xml:space="preserve"> </w:t>
      </w: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000000"/>
          <w:sz w:val="14"/>
        </w:rPr>
        <w:t>Fiscal years</w:t>
      </w:r>
      <w:r>
        <w:rPr>
          <w:rFonts w:ascii="Helv" w:hAnsi="Helv" w:cs="Helv" w:eastAsia="Helv"/>
          <w:b w:val="true"/>
          <w:i w:val="false"/>
          <w:strike w:val="false"/>
          <w:color w:val="000000"/>
          <w:sz w:val="20"/>
        </w:rPr>
        <w:t xml:space="preserve"> </w:t>
      </w:r>
      <w:r>
        <w:rPr>
          <w:rFonts w:ascii="Times New Roman" w:hAnsi="Times New Roman" w:cs="Times New Roman" w:eastAsia="Times New Roman"/>
          <w:b w:val="false"/>
          <w:i w:val="false"/>
          <w:strike w:val="false"/>
          <w:color w:val="000000"/>
          <w:sz w:val="14"/>
        </w:rPr>
        <w:t>97 &amp; 98 administrative expenditure data are estimated.</w:t>
      </w:r>
    </w:p>
    <w:p>
      <w:pPr>
        <w:pStyle w:val="FootnoteText"/>
        <w:jc w:val="left"/>
      </w:pP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total number of </w:t>
      </w:r>
    </w:p>
    <w:p>
      <w:pPr>
        <w:pStyle w:val="FootnoteText"/>
        <w:jc w:val="left"/>
      </w:pPr>
      <w:r>
        <w:rPr>
          <w:rFonts w:ascii="Times New Roman" w:hAnsi="Times New Roman" w:cs="Times New Roman" w:eastAsia="Times New Roman"/>
          <w:b w:val="false"/>
          <w:i w:val="false"/>
          <w:strike w:val="false"/>
          <w:color w:val=""/>
          <w:sz w:val="14"/>
        </w:rPr>
        <w:t>orders established do not include those for Tennessee.</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SOURCE</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As</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 xml:space="preserve">voluntarily reported by the States. </w:t>
      </w:r>
    </w:p>
    <w:p>
      <w:pPr>
        <w:pStyle w:val=""/>
        <w:jc w:val="left"/>
      </w:pPr>
      <w:r>
        <w:rPr>
          <w:rFonts w:ascii="Helv" w:hAnsi="Helv" w:cs="Helv" w:eastAsia="Helv"/>
          <w:b w:val="false"/>
          <w:i w:val="false"/>
          <w:strike w:val="false"/>
          <w:color w:val="000000"/>
          <w:sz w:val="16"/>
        </w:rPr>
        <w:t xml:space="preserve">NOTE: </w:t>
      </w:r>
      <w:r>
        <w:rPr>
          <w:rFonts w:ascii="Helv" w:hAnsi="Helv" w:cs="Helv" w:eastAsia="Helv"/>
          <w:b w:val="false"/>
          <w:i w:val="false"/>
          <w:strike w:val="false"/>
          <w:color w:val="000000"/>
          <w:sz w:val="16"/>
        </w:rPr>
        <w:t>The percent is the number of out-of-wedlock births for which a voluntary acknowledgment for</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paternity was signed, divided by the total number of out-of-wedlock births and multiplied by 100.  Not all children for whom acknowledgments were signed are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in the IV-D caseload.  All States were asked to report information on voluntary acknowledgments, but some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States did not report and some States reported incomplete information.  NA means data was not available.</w:t>
      </w:r>
    </w:p>
    <w:p>
      <w:pPr>
        <w:pStyle w:val=""/>
        <w:jc w:val="left"/>
      </w:pPr>
      <w:r>
        <w:rPr>
          <w:rFonts w:ascii="Helv" w:hAnsi="Helv" w:cs="Helv" w:eastAsia="Helv"/>
          <w:b w:val="true"/>
          <w:i w:val="false"/>
          <w:strike w:val="false"/>
          <w:color w:val="000000"/>
          <w:sz w:val="16"/>
        </w:rPr>
        <w:t>*</w:t>
      </w:r>
      <w:r>
        <w:rPr>
          <w:rFonts w:ascii="Helv" w:hAnsi="Helv" w:cs="Helv" w:eastAsia="Helv"/>
          <w:b w:val="false"/>
          <w:i w:val="false"/>
          <w:strike w:val="false"/>
          <w:color w:val="000000"/>
          <w:sz w:val="16"/>
        </w:rPr>
        <w:t>Out-of-wedlock births were not available so a percent could not be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SOURCE:  OCSE-158 and OCSE-34A reports</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 xml:space="preserve">Data  for fiscal year 1998 are preliminary.  </w:t>
      </w:r>
    </w:p>
    <w:p>
      <w:pPr>
        <w:pStyle w:val=""/>
        <w:jc w:val="left"/>
      </w:pPr>
      <w:r>
        <w:rPr>
          <w:rFonts w:ascii="" w:hAnsi="" w:cs="" w:eastAsia=""/>
          <w:b w:val="false"/>
          <w:i w:val="false"/>
          <w:strike w:val="false"/>
          <w:color w:val=""/>
          <w:sz w:val="16"/>
        </w:rPr>
        <w:t xml:space="preserve">* FTE was estimated using the previous years’ total.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 xml:space="preserve"> 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 xml:space="preserve">  Data  for  fiscal year 1998 are preliminary.</w:t>
      </w:r>
    </w:p>
    <w:p>
      <w:pPr>
        <w:pStyle w:val=""/>
        <w:jc w:val="left"/>
      </w:pPr>
      <w:r>
        <w:rPr>
          <w:rFonts w:ascii="" w:hAnsi="" w:cs="" w:eastAsia=""/>
          <w:b w:val="false"/>
          <w:i w:val="false"/>
          <w:strike w:val="false"/>
          <w:color w:val=""/>
          <w:sz w:val="16"/>
        </w:rPr>
        <w:t>*Collections received exceeded collections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current support due.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prior year support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Heading1"/>
        <w:jc w:val="left"/>
      </w:pPr>
      <w:r>
        <w:rPr>
          <w:rFonts w:ascii="" w:hAnsi="" w:cs="" w:eastAsia=""/>
          <w:b w:val="false"/>
          <w:i w:val="false"/>
          <w:strike w:val="false"/>
          <w:color w:val=""/>
        </w:rPr>
        <w:t>Child Support Enforcement</w:t>
      </w:r>
    </w:p>
    <w:p>
      <w:pPr>
        <w:pStyle w:val=""/>
        <w:jc w:val="center"/>
      </w:pPr>
      <w:r>
        <w:rPr>
          <w:rFonts w:ascii="" w:hAnsi="" w:cs="" w:eastAsia=""/>
          <w:b w:val="true"/>
          <w:i w:val="false"/>
          <w:strike w:val="false"/>
          <w:color w:val=""/>
          <w:sz w:val="48"/>
        </w:rPr>
        <w:t>Program Box Scores</w:t>
      </w:r>
    </w:p>
    <w:p>
      <w:pPr>
        <w:pStyle w:val=""/>
        <w:jc w:val="center"/>
      </w:pPr>
      <w:r>
        <w:rPr>
          <w:rFonts w:ascii="" w:hAnsi="" w:cs="" w:eastAsia=""/>
          <w:b w:val="true"/>
          <w:i w:val="false"/>
          <w:strike w:val="false"/>
          <w:color w:val=""/>
        </w:rPr>
        <w:t>Regional Box Scores for FY 1998</w:t>
      </w:r>
    </w:p>
    <w:p>
      <w:pPr>
        <w:pStyle w:val=""/>
        <w:jc w:val="both"/>
      </w:pPr>
      <w:r>
        <w:rPr>
          <w:rFonts w:ascii="" w:hAnsi="" w:cs="" w:eastAsia=""/>
          <w:b w:val="false"/>
          <w:i w:val="false"/>
          <w:strike w:val="false"/>
          <w:color w:val=""/>
        </w:rPr>
        <w:t>The following box scores summarize the child support program data for each of the ten HHS regions</w:t>
      </w:r>
      <w:r>
        <w:rPr>
          <w:rFonts w:ascii="" w:hAnsi="" w:cs="" w:eastAsia=""/>
          <w:b w:val="false"/>
          <w:i w:val="false"/>
          <w:strike w:val="false"/>
          <w:color w:val=""/>
        </w:rPr>
        <w:t xml:space="preserve"> and gives an overall nationwide summary.  Box score tables for the individual States follow the regional box scores.  Box scores </w:t>
      </w:r>
      <w:r>
        <w:rPr>
          <w:rFonts w:ascii="" w:hAnsi="" w:cs="" w:eastAsia=""/>
          <w:b w:val="false"/>
          <w:i w:val="false"/>
          <w:strike w:val="false"/>
          <w:color w:val=""/>
        </w:rPr>
        <w:t xml:space="preserve">are a quick listing of 15 measures that give a summary of the program for each region and each State. </w:t>
      </w:r>
    </w:p>
    <w:p>
      <w:pPr>
        <w:pStyle w:val=""/>
        <w:jc w:val="both"/>
      </w:pPr>
      <w:r>
        <w:rPr>
          <w:rFonts w:ascii="" w:hAnsi="" w:cs="" w:eastAsia=""/>
          <w:b w:val="true"/>
          <w:i w:val="false"/>
          <w:strike w:val="false"/>
          <w:color w:val=""/>
        </w:rPr>
        <w:t>Financial Data</w:t>
      </w:r>
      <w:r>
        <w:rPr>
          <w:rFonts w:ascii="" w:hAnsi="" w:cs="" w:eastAsia=""/>
          <w:b w:val="false"/>
          <w:i w:val="false"/>
          <w:strike w:val="false"/>
          <w:color w:val=""/>
        </w:rPr>
        <w:t xml:space="preserve">.  </w:t>
      </w:r>
      <w:r>
        <w:rPr>
          <w:rFonts w:ascii="" w:hAnsi="" w:cs="" w:eastAsia=""/>
          <w:b w:val="false"/>
          <w:i w:val="false"/>
          <w:strike w:val="false"/>
          <w:color w:val=""/>
        </w:rPr>
        <w:t>Preliminary t</w:t>
      </w:r>
      <w:r>
        <w:rPr>
          <w:rFonts w:ascii="" w:hAnsi="" w:cs="" w:eastAsia=""/>
          <w:b w:val="false"/>
          <w:i w:val="false"/>
          <w:strike w:val="false"/>
          <w:color w:val=""/>
        </w:rPr>
        <w:t>otal distributed collections reached</w:t>
      </w:r>
      <w:r>
        <w:rPr>
          <w:rFonts w:ascii="" w:hAnsi="" w:cs="" w:eastAsia=""/>
          <w:b w:val="false"/>
          <w:i w:val="false"/>
          <w:strike w:val="false"/>
          <w:color w:val=""/>
        </w:rPr>
        <w:t xml:space="preserve"> a</w:t>
      </w:r>
      <w:r>
        <w:rPr>
          <w:rFonts w:ascii="" w:hAnsi="" w:cs="" w:eastAsia=""/>
          <w:b w:val="false"/>
          <w:i w:val="false"/>
          <w:strike w:val="false"/>
          <w:color w:val=""/>
        </w:rPr>
        <w:t xml:space="preserve"> high of  $1</w:t>
      </w:r>
      <w:r>
        <w:rPr>
          <w:rFonts w:ascii="" w:hAnsi="" w:cs="" w:eastAsia=""/>
          <w:b w:val="false"/>
          <w:i w:val="false"/>
          <w:strike w:val="false"/>
          <w:color w:val=""/>
        </w:rPr>
        <w:t>4.3</w:t>
      </w:r>
      <w:r>
        <w:rPr>
          <w:rFonts w:ascii="" w:hAnsi="" w:cs="" w:eastAsia=""/>
          <w:b w:val="false"/>
          <w:i w:val="false"/>
          <w:strike w:val="false"/>
          <w:color w:val=""/>
        </w:rPr>
        <w:t xml:space="preserve"> billion for fiscal year 199</w:t>
      </w:r>
      <w:r>
        <w:rPr>
          <w:rFonts w:ascii="" w:hAnsi="" w:cs="" w:eastAsia=""/>
          <w:b w:val="false"/>
          <w:i w:val="false"/>
          <w:strike w:val="false"/>
          <w:color w:val=""/>
        </w:rPr>
        <w:t>8</w:t>
      </w:r>
      <w:r>
        <w:rPr>
          <w:rFonts w:ascii="" w:hAnsi="" w:cs="" w:eastAsia=""/>
          <w:b w:val="false"/>
          <w:i w:val="false"/>
          <w:strike w:val="false"/>
          <w:color w:val=""/>
        </w:rPr>
        <w:t xml:space="preserve">, a </w:t>
      </w:r>
      <w:r>
        <w:rPr>
          <w:rFonts w:ascii="" w:hAnsi="" w:cs="" w:eastAsia=""/>
          <w:b w:val="false"/>
          <w:i w:val="false"/>
          <w:strike w:val="false"/>
          <w:color w:val=""/>
        </w:rPr>
        <w:t>7.4</w:t>
      </w:r>
      <w:r>
        <w:rPr>
          <w:rFonts w:ascii="" w:hAnsi="" w:cs="" w:eastAsia=""/>
          <w:b w:val="false"/>
          <w:i w:val="false"/>
          <w:strike w:val="false"/>
          <w:color w:val=""/>
        </w:rPr>
        <w:t xml:space="preserve"> percent increase over fiscal year 199</w:t>
      </w:r>
      <w:r>
        <w:rPr>
          <w:rFonts w:ascii="" w:hAnsi="" w:cs="" w:eastAsia=""/>
          <w:b w:val="false"/>
          <w:i w:val="false"/>
          <w:strike w:val="false"/>
          <w:color w:val=""/>
        </w:rPr>
        <w:t>7.</w:t>
      </w:r>
      <w:r>
        <w:rPr>
          <w:rFonts w:ascii="" w:hAnsi="" w:cs="" w:eastAsia=""/>
          <w:b w:val="false"/>
          <w:i w:val="false"/>
          <w:strike w:val="false"/>
          <w:color w:val=""/>
        </w:rPr>
        <w:t xml:space="preserve"> </w:t>
      </w:r>
      <w:r>
        <w:rPr>
          <w:rFonts w:ascii="" w:hAnsi="" w:cs="" w:eastAsia=""/>
          <w:b w:val="false"/>
          <w:i w:val="false"/>
          <w:strike w:val="false"/>
          <w:color w:val=""/>
        </w:rPr>
        <w:t xml:space="preserve">Four </w:t>
      </w:r>
      <w:r>
        <w:rPr>
          <w:rFonts w:ascii="" w:hAnsi="" w:cs="" w:eastAsia=""/>
          <w:b w:val="false"/>
          <w:i w:val="false"/>
          <w:strike w:val="false"/>
          <w:color w:val=""/>
        </w:rPr>
        <w:t xml:space="preserve">regions achieved increases </w:t>
      </w:r>
      <w:r>
        <w:rPr>
          <w:rFonts w:ascii="" w:hAnsi="" w:cs="" w:eastAsia=""/>
          <w:b w:val="false"/>
          <w:i w:val="false"/>
          <w:strike w:val="false"/>
          <w:color w:val=""/>
        </w:rPr>
        <w:t>equal to or above t</w:t>
      </w:r>
      <w:r>
        <w:rPr>
          <w:rFonts w:ascii="" w:hAnsi="" w:cs="" w:eastAsia=""/>
          <w:b w:val="false"/>
          <w:i w:val="false"/>
          <w:strike w:val="false"/>
          <w:color w:val=""/>
        </w:rPr>
        <w:t>he</w:t>
      </w:r>
      <w:r>
        <w:rPr>
          <w:rFonts w:ascii="" w:hAnsi="" w:cs="" w:eastAsia=""/>
          <w:b w:val="false"/>
          <w:i w:val="false"/>
          <w:strike w:val="false"/>
          <w:color w:val=""/>
        </w:rPr>
        <w:t xml:space="preserve"> </w:t>
      </w:r>
      <w:r>
        <w:rPr>
          <w:rFonts w:ascii="" w:hAnsi="" w:cs="" w:eastAsia=""/>
          <w:b w:val="false"/>
          <w:i w:val="false"/>
          <w:strike w:val="false"/>
          <w:color w:val=""/>
        </w:rPr>
        <w:t>national average</w:t>
      </w:r>
      <w:r>
        <w:rPr>
          <w:rFonts w:ascii="" w:hAnsi="" w:cs="" w:eastAsia=""/>
          <w:b w:val="false"/>
          <w:i w:val="false"/>
          <w:strike w:val="false"/>
          <w:color w:val=""/>
        </w:rPr>
        <w:t xml:space="preserve"> in FY 1998</w:t>
      </w:r>
      <w:r>
        <w:rPr>
          <w:rFonts w:ascii="" w:hAnsi="" w:cs="" w:eastAsia=""/>
          <w:b w:val="true"/>
          <w:i w:val="false"/>
          <w:strike w:val="false"/>
          <w:color w:val=""/>
        </w:rPr>
        <w:t xml:space="preserve"> </w:t>
      </w:r>
      <w:r>
        <w:rPr>
          <w:rFonts w:ascii="" w:hAnsi="" w:cs="" w:eastAsia=""/>
          <w:b w:val="false"/>
          <w:i w:val="false"/>
          <w:strike w:val="false"/>
          <w:color w:val=""/>
        </w:rPr>
        <w:t>(Regions</w:t>
      </w:r>
      <w:r>
        <w:rPr>
          <w:rFonts w:ascii="" w:hAnsi="" w:cs="" w:eastAsia=""/>
          <w:b w:val="true"/>
          <w:i w:val="false"/>
          <w:strike w:val="false"/>
          <w:color w:val=""/>
        </w:rPr>
        <w:t xml:space="preserve"> I, V, VI, VIII, and IX</w:t>
      </w:r>
      <w:r>
        <w:rPr>
          <w:rFonts w:ascii="" w:hAnsi="" w:cs="" w:eastAsia=""/>
          <w:b w:val="false"/>
          <w:i w:val="false"/>
          <w:strike w:val="false"/>
          <w:color w:val=""/>
        </w:rPr>
        <w:t xml:space="preserve">).  Region </w:t>
      </w:r>
      <w:r>
        <w:rPr>
          <w:rFonts w:ascii="" w:hAnsi="" w:cs="" w:eastAsia=""/>
          <w:b w:val="true"/>
          <w:i w:val="false"/>
          <w:strike w:val="false"/>
          <w:color w:val=""/>
        </w:rPr>
        <w:t>IX</w:t>
      </w:r>
      <w:r>
        <w:rPr>
          <w:rFonts w:ascii="" w:hAnsi="" w:cs="" w:eastAsia=""/>
          <w:b w:val="false"/>
          <w:i w:val="false"/>
          <w:strike w:val="false"/>
          <w:color w:val=""/>
        </w:rPr>
        <w:t xml:space="preserve"> collections were the highest with an increase of 16 percent for fiscal year 1998.</w:t>
      </w:r>
    </w:p>
    <w:p>
      <w:pPr>
        <w:pStyle w:val=""/>
        <w:jc w:val="both"/>
      </w:pPr>
      <w:r>
        <w:rPr>
          <w:rFonts w:ascii="" w:hAnsi="" w:cs="" w:eastAsia=""/>
          <w:b w:val="false"/>
          <w:i w:val="false"/>
          <w:strike w:val="false"/>
          <w:color w:val=""/>
        </w:rPr>
        <w:t>Preliminary t</w:t>
      </w:r>
      <w:r>
        <w:rPr>
          <w:rFonts w:ascii="" w:hAnsi="" w:cs="" w:eastAsia=""/>
          <w:b w:val="false"/>
          <w:i w:val="false"/>
          <w:strike w:val="false"/>
          <w:color w:val=""/>
        </w:rPr>
        <w:t>otal expenditures</w:t>
      </w:r>
      <w:r>
        <w:rPr>
          <w:rFonts w:ascii="" w:hAnsi="" w:cs="" w:eastAsia=""/>
          <w:b w:val="false"/>
          <w:i w:val="false"/>
          <w:strike w:val="false"/>
          <w:color w:val=""/>
        </w:rPr>
        <w:t xml:space="preserve"> gr</w:t>
      </w:r>
      <w:r>
        <w:rPr>
          <w:rFonts w:ascii="" w:hAnsi="" w:cs="" w:eastAsia=""/>
          <w:b w:val="false"/>
          <w:i w:val="false"/>
          <w:strike w:val="false"/>
          <w:color w:val=""/>
        </w:rPr>
        <w:t>ew to $3.</w:t>
      </w:r>
      <w:r>
        <w:rPr>
          <w:rFonts w:ascii="" w:hAnsi="" w:cs="" w:eastAsia=""/>
          <w:b w:val="false"/>
          <w:i w:val="false"/>
          <w:strike w:val="false"/>
          <w:color w:val=""/>
        </w:rPr>
        <w:t>6</w:t>
      </w:r>
      <w:r>
        <w:rPr>
          <w:rFonts w:ascii="" w:hAnsi="" w:cs="" w:eastAsia=""/>
          <w:b w:val="false"/>
          <w:i w:val="false"/>
          <w:strike w:val="false"/>
          <w:color w:val=""/>
        </w:rPr>
        <w:t xml:space="preserve"> billion</w:t>
      </w:r>
      <w:r>
        <w:rPr>
          <w:rFonts w:ascii="" w:hAnsi="" w:cs="" w:eastAsia=""/>
          <w:b w:val="false"/>
          <w:i w:val="false"/>
          <w:strike w:val="false"/>
          <w:color w:val=""/>
        </w:rPr>
        <w:t xml:space="preserve"> in fiscal year 1998</w:t>
      </w:r>
      <w:r>
        <w:rPr>
          <w:rFonts w:ascii="" w:hAnsi="" w:cs="" w:eastAsia=""/>
          <w:b w:val="false"/>
          <w:i w:val="false"/>
          <w:strike w:val="false"/>
          <w:color w:val=""/>
        </w:rPr>
        <w:t xml:space="preserve">.  This is a </w:t>
      </w:r>
      <w:r>
        <w:rPr>
          <w:rFonts w:ascii="" w:hAnsi="" w:cs="" w:eastAsia=""/>
          <w:b w:val="false"/>
          <w:i w:val="false"/>
          <w:strike w:val="false"/>
          <w:color w:val=""/>
        </w:rPr>
        <w:t>4.6</w:t>
      </w:r>
      <w:r>
        <w:rPr>
          <w:rFonts w:ascii="" w:hAnsi="" w:cs="" w:eastAsia=""/>
          <w:b w:val="false"/>
          <w:i w:val="false"/>
          <w:strike w:val="false"/>
          <w:color w:val=""/>
        </w:rPr>
        <w:t xml:space="preserve"> percent increase</w:t>
      </w:r>
      <w:r>
        <w:rPr>
          <w:rFonts w:ascii="" w:hAnsi="" w:cs="" w:eastAsia=""/>
          <w:b w:val="false"/>
          <w:i w:val="false"/>
          <w:strike w:val="false"/>
          <w:color w:val=""/>
        </w:rPr>
        <w:t xml:space="preserve"> over </w:t>
      </w:r>
      <w:r>
        <w:rPr>
          <w:rFonts w:ascii="" w:hAnsi="" w:cs="" w:eastAsia=""/>
          <w:b w:val="false"/>
          <w:i w:val="false"/>
          <w:strike w:val="false"/>
          <w:color w:val=""/>
        </w:rPr>
        <w:t>the $</w:t>
      </w:r>
      <w:r>
        <w:rPr>
          <w:rFonts w:ascii="" w:hAnsi="" w:cs="" w:eastAsia=""/>
          <w:b w:val="false"/>
          <w:i w:val="false"/>
          <w:strike w:val="false"/>
          <w:color w:val=""/>
        </w:rPr>
        <w:t>3.4</w:t>
      </w:r>
      <w:r>
        <w:rPr>
          <w:rFonts w:ascii="" w:hAnsi="" w:cs="" w:eastAsia=""/>
          <w:b w:val="false"/>
          <w:i w:val="false"/>
          <w:strike w:val="false"/>
          <w:color w:val=""/>
        </w:rPr>
        <w:t xml:space="preserve"> billion reported in fiscal year 199</w:t>
      </w:r>
      <w:r>
        <w:rPr>
          <w:rFonts w:ascii="" w:hAnsi="" w:cs="" w:eastAsia=""/>
          <w:b w:val="false"/>
          <w:i w:val="false"/>
          <w:strike w:val="false"/>
          <w:color w:val=""/>
        </w:rPr>
        <w:t xml:space="preserve">7.  Regions </w:t>
      </w:r>
      <w:r>
        <w:rPr>
          <w:rFonts w:ascii="" w:hAnsi="" w:cs="" w:eastAsia=""/>
          <w:b w:val="true"/>
          <w:i w:val="false"/>
          <w:strike w:val="false"/>
          <w:color w:val=""/>
        </w:rPr>
        <w:t>IV and IX</w:t>
      </w:r>
      <w:r>
        <w:rPr>
          <w:rFonts w:ascii="" w:hAnsi="" w:cs="" w:eastAsia=""/>
          <w:b w:val="false"/>
          <w:i w:val="false"/>
          <w:strike w:val="false"/>
          <w:color w:val=""/>
        </w:rPr>
        <w:t xml:space="preserve"> had the lowest overall increase, in fact, their expenditures actually decreased by 1 percent in fiscal year 1998.  </w:t>
      </w:r>
      <w:r>
        <w:rPr>
          <w:rFonts w:ascii="" w:hAnsi="" w:cs="" w:eastAsia=""/>
          <w:b w:val="false"/>
          <w:i w:val="false"/>
          <w:strike w:val="false"/>
          <w:color w:val=""/>
        </w:rPr>
        <w:t>Cost-effectiveness</w:t>
      </w:r>
      <w:r>
        <w:rPr>
          <w:rFonts w:ascii="" w:hAnsi="" w:cs="" w:eastAsia=""/>
          <w:b w:val="false"/>
          <w:i w:val="false"/>
          <w:strike w:val="false"/>
          <w:color w:val=""/>
        </w:rPr>
        <w:t xml:space="preserve"> </w:t>
      </w:r>
      <w:r>
        <w:rPr>
          <w:rFonts w:ascii="" w:hAnsi="" w:cs="" w:eastAsia=""/>
          <w:b w:val="false"/>
          <w:i w:val="false"/>
          <w:strike w:val="false"/>
          <w:color w:val=""/>
        </w:rPr>
        <w:t xml:space="preserve">in fiscal year 1998 increased to $4.00.  Five </w:t>
      </w:r>
      <w:r>
        <w:rPr>
          <w:rFonts w:ascii="" w:hAnsi="" w:cs="" w:eastAsia=""/>
          <w:b w:val="false"/>
          <w:i w:val="false"/>
          <w:strike w:val="false"/>
          <w:color w:val=""/>
        </w:rPr>
        <w:t xml:space="preserve">regions </w:t>
      </w:r>
      <w:r>
        <w:rPr>
          <w:rFonts w:ascii="" w:hAnsi="" w:cs="" w:eastAsia=""/>
          <w:b w:val="false"/>
          <w:i w:val="false"/>
          <w:strike w:val="false"/>
          <w:color w:val=""/>
        </w:rPr>
        <w:t>had</w:t>
      </w:r>
      <w:r>
        <w:rPr>
          <w:rFonts w:ascii="" w:hAnsi="" w:cs="" w:eastAsia=""/>
          <w:b w:val="false"/>
          <w:i w:val="false"/>
          <w:strike w:val="false"/>
          <w:color w:val=""/>
        </w:rPr>
        <w:t xml:space="preserve"> </w:t>
      </w:r>
      <w:r>
        <w:rPr>
          <w:rFonts w:ascii="" w:hAnsi="" w:cs="" w:eastAsia=""/>
          <w:b w:val="false"/>
          <w:i w:val="false"/>
          <w:strike w:val="false"/>
          <w:color w:val=""/>
        </w:rPr>
        <w:t xml:space="preserve">higher </w:t>
      </w:r>
      <w:r>
        <w:rPr>
          <w:rFonts w:ascii="" w:hAnsi="" w:cs="" w:eastAsia=""/>
          <w:b w:val="false"/>
          <w:i w:val="false"/>
          <w:strike w:val="false"/>
          <w:color w:val=""/>
        </w:rPr>
        <w:t xml:space="preserve">cost-effectiveness ratios </w:t>
      </w:r>
      <w:r>
        <w:rPr>
          <w:rFonts w:ascii="" w:hAnsi="" w:cs="" w:eastAsia=""/>
          <w:b w:val="false"/>
          <w:i w:val="false"/>
          <w:strike w:val="false"/>
          <w:color w:val=""/>
        </w:rPr>
        <w:t xml:space="preserve">with Region </w:t>
      </w:r>
      <w:r>
        <w:rPr>
          <w:rFonts w:ascii="" w:hAnsi="" w:cs="" w:eastAsia=""/>
          <w:b w:val="true"/>
          <w:i w:val="false"/>
          <w:strike w:val="false"/>
          <w:color w:val=""/>
        </w:rPr>
        <w:t>V</w:t>
      </w:r>
      <w:r>
        <w:rPr>
          <w:rFonts w:ascii="" w:hAnsi="" w:cs="" w:eastAsia=""/>
          <w:b w:val="false"/>
          <w:i w:val="false"/>
          <w:strike w:val="false"/>
          <w:color w:val=""/>
        </w:rPr>
        <w:t xml:space="preserve"> achieving the highest with a cost-effective ratio of $5.19. </w:t>
      </w:r>
    </w:p>
    <w:p>
      <w:pPr>
        <w:pStyle w:val=""/>
        <w:jc w:val="both"/>
      </w:pPr>
      <w:r>
        <w:rPr>
          <w:rFonts w:ascii="" w:hAnsi="" w:cs="" w:eastAsia=""/>
          <w:b w:val="true"/>
          <w:i w:val="false"/>
          <w:strike w:val="false"/>
          <w:color w:val=""/>
        </w:rPr>
        <w:t>S</w:t>
      </w:r>
      <w:r>
        <w:rPr>
          <w:rFonts w:ascii="" w:hAnsi="" w:cs="" w:eastAsia=""/>
          <w:b w:val="true"/>
          <w:i w:val="false"/>
          <w:strike w:val="false"/>
          <w:color w:val=""/>
        </w:rPr>
        <w:t>tatistical Data.</w:t>
      </w:r>
      <w:r>
        <w:rPr>
          <w:rFonts w:ascii="" w:hAnsi="" w:cs="" w:eastAsia=""/>
          <w:b w:val="false"/>
          <w:i w:val="false"/>
          <w:strike w:val="false"/>
          <w:color w:val=""/>
        </w:rPr>
        <w:t xml:space="preserve">  The</w:t>
      </w:r>
      <w:r>
        <w:rPr>
          <w:rFonts w:ascii="" w:hAnsi="" w:cs="" w:eastAsia=""/>
          <w:b w:val="false"/>
          <w:i w:val="false"/>
          <w:strike w:val="false"/>
          <w:color w:val=""/>
        </w:rPr>
        <w:t xml:space="preserve"> preliminary</w:t>
      </w:r>
      <w:r>
        <w:rPr>
          <w:rFonts w:ascii="" w:hAnsi="" w:cs="" w:eastAsia=""/>
          <w:b w:val="false"/>
          <w:i w:val="false"/>
          <w:strike w:val="false"/>
          <w:color w:val=""/>
        </w:rPr>
        <w:t xml:space="preserve"> number of </w:t>
      </w:r>
      <w:r>
        <w:rPr>
          <w:rFonts w:ascii="" w:hAnsi="" w:cs="" w:eastAsia=""/>
          <w:b w:val="false"/>
          <w:i w:val="false"/>
          <w:strike w:val="false"/>
          <w:color w:val=""/>
        </w:rPr>
        <w:t xml:space="preserve">total IV-D </w:t>
      </w:r>
      <w:r>
        <w:rPr>
          <w:rFonts w:ascii="" w:hAnsi="" w:cs="" w:eastAsia=""/>
          <w:b w:val="false"/>
          <w:i w:val="false"/>
          <w:strike w:val="false"/>
          <w:color w:val=""/>
        </w:rPr>
        <w:t xml:space="preserve">paternities established </w:t>
      </w:r>
      <w:r>
        <w:rPr>
          <w:rFonts w:ascii="" w:hAnsi="" w:cs="" w:eastAsia=""/>
          <w:b w:val="false"/>
          <w:i w:val="false"/>
          <w:strike w:val="false"/>
          <w:color w:val=""/>
        </w:rPr>
        <w:t xml:space="preserve">and acknowledged </w:t>
      </w:r>
      <w:r>
        <w:rPr>
          <w:rFonts w:ascii="" w:hAnsi="" w:cs="" w:eastAsia=""/>
          <w:b w:val="false"/>
          <w:i w:val="false"/>
          <w:strike w:val="false"/>
          <w:color w:val=""/>
        </w:rPr>
        <w:t xml:space="preserve">increased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 xml:space="preserve"> </w:t>
      </w:r>
      <w:r>
        <w:rPr>
          <w:rFonts w:ascii="" w:hAnsi="" w:cs="" w:eastAsia=""/>
          <w:b w:val="false"/>
          <w:i w:val="false"/>
          <w:strike w:val="false"/>
          <w:color w:val=""/>
        </w:rPr>
        <w:t xml:space="preserve">from </w:t>
      </w:r>
      <w:r>
        <w:rPr>
          <w:rFonts w:ascii="" w:hAnsi="" w:cs="" w:eastAsia=""/>
          <w:b w:val="false"/>
          <w:i w:val="false"/>
          <w:strike w:val="false"/>
          <w:color w:val=""/>
        </w:rPr>
        <w:t xml:space="preserve">1.3 million in </w:t>
      </w:r>
      <w:r>
        <w:rPr>
          <w:rFonts w:ascii="" w:hAnsi="" w:cs="" w:eastAsia=""/>
          <w:b w:val="false"/>
          <w:i w:val="false"/>
          <w:strike w:val="false"/>
          <w:color w:val=""/>
        </w:rPr>
        <w:t>fiscal year 199</w:t>
      </w:r>
      <w:r>
        <w:rPr>
          <w:rFonts w:ascii="" w:hAnsi="" w:cs="" w:eastAsia=""/>
          <w:b w:val="false"/>
          <w:i w:val="false"/>
          <w:strike w:val="false"/>
          <w:color w:val=""/>
        </w:rPr>
        <w:t>7</w:t>
      </w:r>
      <w:r>
        <w:rPr>
          <w:rFonts w:ascii="" w:hAnsi="" w:cs="" w:eastAsia=""/>
          <w:b w:val="false"/>
          <w:i w:val="false"/>
          <w:strike w:val="false"/>
          <w:color w:val=""/>
        </w:rPr>
        <w:t xml:space="preserve"> to </w:t>
      </w:r>
      <w:r>
        <w:rPr>
          <w:rFonts w:ascii="" w:hAnsi="" w:cs="" w:eastAsia=""/>
          <w:b w:val="false"/>
          <w:i w:val="false"/>
          <w:strike w:val="false"/>
          <w:color w:val=""/>
        </w:rPr>
        <w:t>1.5 million in f</w:t>
      </w:r>
      <w:r>
        <w:rPr>
          <w:rFonts w:ascii="" w:hAnsi="" w:cs="" w:eastAsia=""/>
          <w:b w:val="false"/>
          <w:i w:val="false"/>
          <w:strike w:val="false"/>
          <w:color w:val=""/>
        </w:rPr>
        <w:t>iscal year 199</w:t>
      </w:r>
      <w:r>
        <w:rPr>
          <w:rFonts w:ascii="" w:hAnsi="" w:cs="" w:eastAsia=""/>
          <w:b w:val="false"/>
          <w:i w:val="false"/>
          <w:strike w:val="false"/>
          <w:color w:val=""/>
        </w:rPr>
        <w:t>8.  Re</w:t>
      </w:r>
      <w:r>
        <w:rPr>
          <w:rFonts w:ascii="" w:hAnsi="" w:cs="" w:eastAsia=""/>
          <w:b w:val="false"/>
          <w:i w:val="false"/>
          <w:strike w:val="false"/>
          <w:color w:val=""/>
        </w:rPr>
        <w:t xml:space="preserve">gions </w:t>
      </w:r>
      <w:r>
        <w:rPr>
          <w:rFonts w:ascii="" w:hAnsi="" w:cs="" w:eastAsia=""/>
          <w:b w:val="true"/>
          <w:i w:val="false"/>
          <w:strike w:val="false"/>
          <w:color w:val=""/>
        </w:rPr>
        <w:t xml:space="preserve">IV, VI, VII, and IX </w:t>
      </w:r>
      <w:r>
        <w:rPr>
          <w:rFonts w:ascii="" w:hAnsi="" w:cs="" w:eastAsia=""/>
          <w:b w:val="false"/>
          <w:i w:val="false"/>
          <w:strike w:val="false"/>
          <w:color w:val=""/>
        </w:rPr>
        <w:t xml:space="preserve">reported increases above the overall average of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w:t>
      </w:r>
    </w:p>
    <w:p>
      <w:pPr>
        <w:pStyle w:val=""/>
        <w:jc w:val="both"/>
      </w:pPr>
      <w:r>
        <w:rPr>
          <w:rFonts w:ascii="" w:hAnsi="" w:cs="" w:eastAsia=""/>
          <w:b w:val="false"/>
          <w:i w:val="false"/>
          <w:strike w:val="false"/>
          <w:color w:val=""/>
        </w:rPr>
        <w:t>The</w:t>
      </w:r>
      <w:r>
        <w:rPr>
          <w:rFonts w:ascii="" w:hAnsi="" w:cs="" w:eastAsia=""/>
          <w:b w:val="false"/>
          <w:i w:val="false"/>
          <w:strike w:val="false"/>
          <w:color w:val=""/>
        </w:rPr>
        <w:t xml:space="preserve"> preliminary</w:t>
      </w:r>
      <w:r>
        <w:rPr>
          <w:rFonts w:ascii="" w:hAnsi="" w:cs="" w:eastAsia=""/>
          <w:b w:val="false"/>
          <w:i w:val="false"/>
          <w:strike w:val="false"/>
          <w:color w:val=""/>
        </w:rPr>
        <w:t xml:space="preserve"> </w:t>
      </w:r>
      <w:r>
        <w:rPr>
          <w:rFonts w:ascii="" w:hAnsi="" w:cs="" w:eastAsia=""/>
          <w:b w:val="false"/>
          <w:i w:val="false"/>
          <w:strike w:val="false"/>
          <w:color w:val=""/>
        </w:rPr>
        <w:t xml:space="preserve">total </w:t>
      </w:r>
      <w:r>
        <w:rPr>
          <w:rFonts w:ascii="" w:hAnsi="" w:cs="" w:eastAsia=""/>
          <w:b w:val="false"/>
          <w:i w:val="false"/>
          <w:strike w:val="false"/>
          <w:color w:val=""/>
        </w:rPr>
        <w:t>number of support orders established</w:t>
      </w:r>
      <w:r>
        <w:rPr>
          <w:rFonts w:ascii="" w:hAnsi="" w:cs="" w:eastAsia=""/>
          <w:b w:val="false"/>
          <w:i w:val="false"/>
          <w:strike w:val="false"/>
          <w:color w:val=""/>
        </w:rPr>
        <w:t xml:space="preserve"> de</w:t>
      </w:r>
      <w:r>
        <w:rPr>
          <w:rFonts w:ascii="" w:hAnsi="" w:cs="" w:eastAsia=""/>
          <w:b w:val="false"/>
          <w:i w:val="false"/>
          <w:strike w:val="false"/>
          <w:color w:val=""/>
        </w:rPr>
        <w:t>creased in fiscal year 199</w:t>
      </w:r>
      <w:r>
        <w:rPr>
          <w:rFonts w:ascii="" w:hAnsi="" w:cs="" w:eastAsia=""/>
          <w:b w:val="false"/>
          <w:i w:val="false"/>
          <w:strike w:val="false"/>
          <w:color w:val=""/>
        </w:rPr>
        <w:t>8 by 3.9 percent.  Three</w:t>
      </w:r>
      <w:r>
        <w:rPr>
          <w:rFonts w:ascii="" w:hAnsi="" w:cs="" w:eastAsia=""/>
          <w:b w:val="false"/>
          <w:i w:val="false"/>
          <w:strike w:val="false"/>
          <w:color w:val=""/>
        </w:rPr>
        <w:t xml:space="preserve"> regions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however, </w:t>
      </w:r>
      <w:r>
        <w:rPr>
          <w:rFonts w:ascii="" w:hAnsi="" w:cs="" w:eastAsia=""/>
          <w:b w:val="false"/>
          <w:i w:val="false"/>
          <w:strike w:val="false"/>
          <w:color w:val=""/>
        </w:rPr>
        <w:t xml:space="preserve">reported increases </w:t>
      </w:r>
      <w:r>
        <w:rPr>
          <w:rFonts w:ascii="" w:hAnsi="" w:cs="" w:eastAsia=""/>
          <w:b w:val="false"/>
          <w:i w:val="false"/>
          <w:strike w:val="false"/>
          <w:color w:val=""/>
        </w:rPr>
        <w:t xml:space="preserve">and seven </w:t>
      </w:r>
      <w:r>
        <w:rPr>
          <w:rFonts w:ascii="" w:hAnsi="" w:cs="" w:eastAsia=""/>
          <w:b w:val="false"/>
          <w:i w:val="false"/>
          <w:strike w:val="false"/>
          <w:color w:val=""/>
        </w:rPr>
        <w:t>regions reported a decrease in the number of child support orders established.   Region</w:t>
      </w:r>
      <w:r>
        <w:rPr>
          <w:rFonts w:ascii="" w:hAnsi="" w:cs="" w:eastAsia=""/>
          <w:b w:val="false"/>
          <w:i w:val="false"/>
          <w:strike w:val="false"/>
          <w:color w:val=""/>
        </w:rPr>
        <w:t xml:space="preserve"> </w:t>
      </w:r>
      <w:r>
        <w:rPr>
          <w:rFonts w:ascii="" w:hAnsi="" w:cs="" w:eastAsia=""/>
          <w:b w:val="true"/>
          <w:i w:val="false"/>
          <w:strike w:val="false"/>
          <w:color w:val=""/>
        </w:rPr>
        <w:t>VII</w:t>
      </w:r>
      <w:r>
        <w:rPr>
          <w:rFonts w:ascii="" w:hAnsi="" w:cs="" w:eastAsia=""/>
          <w:b w:val="false"/>
          <w:i w:val="false"/>
          <w:strike w:val="false"/>
          <w:color w:val=""/>
        </w:rPr>
        <w:t xml:space="preserve"> reported the largest increase </w:t>
      </w:r>
      <w:r>
        <w:rPr>
          <w:rFonts w:ascii="" w:hAnsi="" w:cs="" w:eastAsia=""/>
          <w:b w:val="false"/>
          <w:i w:val="false"/>
          <w:strike w:val="false"/>
          <w:color w:val=""/>
        </w:rPr>
        <w:t xml:space="preserve">with 13.2 percent in </w:t>
      </w:r>
      <w:r>
        <w:rPr>
          <w:rFonts w:ascii="" w:hAnsi="" w:cs="" w:eastAsia=""/>
          <w:b w:val="false"/>
          <w:i w:val="false"/>
          <w:strike w:val="false"/>
          <w:color w:val=""/>
        </w:rPr>
        <w:t>support orders established</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w:t>
      </w:r>
      <w:r>
        <w:rPr>
          <w:rFonts w:ascii="" w:hAnsi="" w:cs="" w:eastAsia=""/>
          <w:b w:val="false"/>
          <w:i w:val="false"/>
          <w:strike w:val="false"/>
          <w:color w:val=""/>
        </w:rPr>
        <w:t xml:space="preserve">preliminary </w:t>
      </w:r>
      <w:r>
        <w:rPr>
          <w:rFonts w:ascii="" w:hAnsi="" w:cs="" w:eastAsia=""/>
          <w:b w:val="false"/>
          <w:i w:val="false"/>
          <w:strike w:val="false"/>
          <w:color w:val=""/>
        </w:rPr>
        <w:t xml:space="preserve">number of locations made of non-custodial parents, their employer, or assets increased by </w:t>
      </w:r>
      <w:r>
        <w:rPr>
          <w:rFonts w:ascii="" w:hAnsi="" w:cs="" w:eastAsia=""/>
          <w:b w:val="false"/>
          <w:i w:val="false"/>
          <w:strike w:val="false"/>
          <w:color w:val=""/>
        </w:rPr>
        <w:t>1.8</w:t>
      </w:r>
      <w:r>
        <w:rPr>
          <w:rFonts w:ascii="" w:hAnsi="" w:cs="" w:eastAsia=""/>
          <w:b w:val="false"/>
          <w:i w:val="false"/>
          <w:strike w:val="false"/>
          <w:color w:val=""/>
        </w:rPr>
        <w:t xml:space="preserve"> percent in fiscal year 199</w:t>
      </w:r>
      <w:r>
        <w:rPr>
          <w:rFonts w:ascii="" w:hAnsi="" w:cs="" w:eastAsia=""/>
          <w:b w:val="false"/>
          <w:i w:val="false"/>
          <w:strike w:val="false"/>
          <w:color w:val=""/>
        </w:rPr>
        <w:t>8</w:t>
      </w:r>
      <w:r>
        <w:rPr>
          <w:rFonts w:ascii="" w:hAnsi="" w:cs="" w:eastAsia=""/>
          <w:b w:val="false"/>
          <w:i w:val="false"/>
          <w:strike w:val="false"/>
          <w:color w:val=""/>
        </w:rPr>
        <w:t xml:space="preserve">.  </w:t>
      </w:r>
      <w:r>
        <w:rPr>
          <w:rFonts w:ascii="" w:hAnsi="" w:cs="" w:eastAsia=""/>
          <w:b w:val="false"/>
          <w:i w:val="false"/>
          <w:strike w:val="false"/>
          <w:color w:val=""/>
        </w:rPr>
        <w:t>Six</w:t>
      </w:r>
      <w:r>
        <w:rPr>
          <w:rFonts w:ascii="" w:hAnsi="" w:cs="" w:eastAsia=""/>
          <w:b w:val="false"/>
          <w:i w:val="false"/>
          <w:strike w:val="false"/>
          <w:color w:val=""/>
        </w:rPr>
        <w:t xml:space="preserve"> region</w:t>
      </w:r>
      <w:r>
        <w:rPr>
          <w:rFonts w:ascii="" w:hAnsi="" w:cs="" w:eastAsia=""/>
          <w:b w:val="false"/>
          <w:i w:val="false"/>
          <w:strike w:val="false"/>
          <w:color w:val=""/>
        </w:rPr>
        <w:t>s</w:t>
      </w:r>
      <w:r>
        <w:rPr>
          <w:rFonts w:ascii="" w:hAnsi="" w:cs="" w:eastAsia=""/>
          <w:b w:val="false"/>
          <w:i w:val="false"/>
          <w:strike w:val="false"/>
          <w:color w:val=""/>
        </w:rPr>
        <w:t xml:space="preserve"> reported increases in the number of locations made.  </w:t>
      </w:r>
    </w:p>
    <w:p>
      <w:pPr>
        <w:pStyle w:val=""/>
        <w:jc w:val="both"/>
      </w:pPr>
      <w:r>
        <w:rPr>
          <w:rFonts w:ascii="" w:hAnsi="" w:cs="" w:eastAsia=""/>
          <w:b w:val="false"/>
          <w:i w:val="false"/>
          <w:strike w:val="false"/>
          <w:color w:val=""/>
        </w:rPr>
        <w:t>In fiscal year 1998, the preliminary total caseload increased to 3.1 percent.  Three regions, however, reported decreases in the preliminary total caseload for fiscal year 1998.</w:t>
      </w:r>
    </w:p>
    <w:p>
      <w:pPr>
        <w:pStyle w:val=""/>
        <w:jc w:val="center"/>
      </w:pPr>
      <w:r>
        <w:rPr>
          <w:rFonts w:ascii="" w:hAnsi="" w:cs="" w:eastAsia=""/>
          <w:b w:val="false"/>
          <w:i w:val="false"/>
          <w:strike w:val="false"/>
          <w:color w:val=""/>
          <w:sz w:val="48"/>
        </w:rPr>
        <w:t>Child Support Enforcement</w:t>
      </w:r>
    </w:p>
    <w:p>
      <w:pPr>
        <w:pStyle w:val=""/>
        <w:jc w:val="center"/>
      </w:pPr>
      <w:r>
        <w:rPr>
          <w:rFonts w:ascii="" w:hAnsi="" w:cs="" w:eastAsia=""/>
          <w:b w:val="false"/>
          <w:i w:val="false"/>
          <w:strike w:val="false"/>
          <w:color w:val=""/>
          <w:sz w:val="48"/>
        </w:rPr>
        <w:t>Program Charts and Graphs</w:t>
      </w:r>
    </w:p>
    <w:p>
      <w:pPr>
        <w:pStyle w:val=""/>
        <w:jc w:val="both"/>
      </w:pPr>
    </w:p>
    <w:p>
      <w:pPr>
        <w:pStyle w:val=""/>
        <w:jc w:val="both"/>
      </w:pPr>
      <w:r>
        <w:rPr>
          <w:rFonts w:ascii="" w:hAnsi="" w:cs="" w:eastAsia=""/>
          <w:b w:val="true"/>
          <w:i w:val="false"/>
          <w:strike w:val="false"/>
          <w:color w:val=""/>
          <w:sz w:val="28"/>
        </w:rPr>
        <w:t>Program Charts and Graphs for FY 1998</w:t>
      </w:r>
    </w:p>
    <w:p>
      <w:pPr>
        <w:pStyle w:val=""/>
        <w:jc w:val="both"/>
      </w:pPr>
      <w:r>
        <w:rPr>
          <w:rFonts w:ascii="" w:hAnsi="" w:cs="" w:eastAsia=""/>
          <w:b w:val="false"/>
          <w:i w:val="false"/>
          <w:strike w:val="false"/>
          <w:color w:val=""/>
        </w:rPr>
        <w:t xml:space="preserve">The following preliminary charts and graphs of the Child Support Enforcement program financial and statistical data are for fiscal year 1998 and previous years.  </w:t>
      </w:r>
    </w:p>
    <w:p>
      <w:pPr>
        <w:pStyle w:val=""/>
        <w:jc w:val="both"/>
      </w:pPr>
      <w:r>
        <w:rPr>
          <w:rFonts w:ascii="" w:hAnsi="" w:cs="" w:eastAsia=""/>
          <w:b w:val="true"/>
          <w:i w:val="false"/>
          <w:strike w:val="false"/>
          <w:color w:val=""/>
        </w:rPr>
        <w:t>Total Collections</w:t>
      </w:r>
      <w:r>
        <w:rPr>
          <w:rFonts w:ascii="" w:hAnsi="" w:cs="" w:eastAsia=""/>
          <w:b w:val="false"/>
          <w:i w:val="false"/>
          <w:strike w:val="false"/>
          <w:color w:val=""/>
        </w:rPr>
        <w:t xml:space="preserve">.  Preliminary total child support collections for fiscal year 1998 were $14.3 billion, this represents a 7.4 percent increase over the amount collected in fiscal year 1997.  Of these monies, 81 percent were non-TANF collections, 19 percent were TANF/FC collections, and three-tenths of a percent were foster care (FC), Title IV-E, collections as shown in Figure 1.  </w:t>
      </w:r>
    </w:p>
    <w:p>
      <w:pPr>
        <w:pStyle w:val=""/>
        <w:jc w:val="center"/>
      </w:pPr>
      <w:r>
        <w:rPr>
          <w:rFonts w:ascii="" w:hAnsi="" w:cs="" w:eastAsia=""/>
          <w:b w:val="false"/>
          <w:i w:val="false"/>
          <w:strike w:val="false"/>
          <w:color w:val=""/>
          <w:sz w:val="18"/>
        </w:rPr>
        <w:t>Figure 1</w:t>
      </w:r>
    </w:p>
    <w:p>
      <w:pPr>
        <w:pStyle w:val=""/>
        <w:jc w:val="center"/>
      </w:pPr>
      <w:r>
        <w:rPr>
          <w:rFonts w:ascii="" w:hAnsi="" w:cs="" w:eastAsia=""/>
          <w:b w:val="true"/>
          <w:i w:val="false"/>
          <w:strike w:val="false"/>
          <w:color w:val=""/>
        </w:rPr>
        <w:t>Preliminary Total Collections, FY 1998</w:t>
      </w:r>
    </w:p>
    <w:p>
      <w:pPr>
        <w:pStyle w:val=""/>
        <w:jc w:val="center"/>
      </w:pPr>
      <w:r>
        <w:rPr>
          <w:rFonts w:ascii="" w:hAnsi="" w:cs="" w:eastAsia=""/>
          <w:b w:val="false"/>
          <w:i w:val="false"/>
          <w:strike w:val="false"/>
          <w:color w:val=""/>
          <w:sz w:val="18"/>
        </w:rPr>
        <w:t>$14.3 Billion</w:t>
      </w:r>
    </w:p>
    <w:p>
      <w:pPr>
        <w:pStyle w:val=""/>
        <w:jc w:val="center"/>
      </w:pPr>
    </w:p>
    <w:p>
      <w:pPr>
        <w:pStyle w:val=""/>
        <w:jc w:val="both"/>
      </w:pPr>
      <w:r>
        <w:rPr>
          <w:rFonts w:ascii="" w:hAnsi="" w:cs="" w:eastAsia=""/>
          <w:b w:val="true"/>
          <w:i w:val="false"/>
          <w:strike w:val="false"/>
          <w:color w:val=""/>
        </w:rPr>
        <w:t>Preliminary</w:t>
      </w:r>
      <w:r>
        <w:rPr>
          <w:rFonts w:ascii="" w:hAnsi="" w:cs="" w:eastAsia=""/>
          <w:b w:val="false"/>
          <w:i w:val="false"/>
          <w:strike w:val="false"/>
          <w:color w:val=""/>
        </w:rPr>
        <w:t xml:space="preserve"> </w:t>
      </w:r>
      <w:r>
        <w:rPr>
          <w:rFonts w:ascii="" w:hAnsi="" w:cs="" w:eastAsia=""/>
          <w:b w:val="true"/>
          <w:i w:val="false"/>
          <w:strike w:val="false"/>
          <w:color w:val=""/>
        </w:rPr>
        <w:t xml:space="preserve">Total Collections.  </w:t>
      </w:r>
      <w:r>
        <w:rPr>
          <w:rFonts w:ascii="" w:hAnsi="" w:cs="" w:eastAsia=""/>
          <w:b w:val="false"/>
          <w:i w:val="false"/>
          <w:strike w:val="false"/>
          <w:color w:val=""/>
        </w:rPr>
        <w:t>Over $14 billion was collected in fiscal year 1998, this is a 45 percent increase from the $9.8 collected in FY 1994. (Figure 2)  During the five-year span, TANF/FC collections increased from $2.5 billion in FY 1994 to $2.6 billion in fiscal year 1998.  Non-TANF collections jumped from $7.3 billion in 1994 to $11.7 billion in 1998, a 60 percent increase.</w:t>
      </w:r>
    </w:p>
    <w:p>
      <w:pPr>
        <w:pStyle w:val=""/>
        <w:jc w:val="center"/>
      </w:pPr>
      <w:r>
        <w:rPr>
          <w:rFonts w:ascii="" w:hAnsi="" w:cs="" w:eastAsia=""/>
          <w:b w:val="false"/>
          <w:i w:val="false"/>
          <w:strike w:val="false"/>
          <w:color w:val=""/>
          <w:sz w:val="18"/>
        </w:rPr>
        <w:t>Figure 2</w:t>
      </w:r>
    </w:p>
    <w:p>
      <w:pPr>
        <w:pStyle w:val=""/>
        <w:jc w:val="center"/>
      </w:pPr>
      <w:r>
        <w:rPr>
          <w:rFonts w:ascii="" w:hAnsi="" w:cs="" w:eastAsia=""/>
          <w:b w:val="true"/>
          <w:i w:val="false"/>
          <w:strike w:val="false"/>
          <w:color w:val=""/>
        </w:rPr>
        <w:t>Preliminary Total Collections</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There were 4.5 million child support enforcement cases with collections reported in fiscal year 1998.  A total amount of $3,132 was collected per paying case for fiscal year 1998 (Figure 4).  In fiscal year 1998, an average of $2,175 was collected from each TANF and Arrears paying case and $3,732 from each non-TANF paying case.  This represents a 10 percent increase in collections per paying case over the past five years.</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2018-05-14T17:51:48Z</dcterms:created>
  <dc:creator>Apache POI</dc:creator>
</cp:coreProperties>
</file>