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center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>Typically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mitigation measures such as removing the effected soil and monitoring for 1-2 years should rectify the situation. </w:t>
      </w:r>
    </w:p>
    <w:p>
      <w:pPr>
        <w:pStyle w:val="BodyText2"/>
        <w:jc w:val="righ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regarding the groundwater study click here [http://www.renewthevalley.org/files/pdf/epareport.pdf])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Management: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The </w:t>
      </w:r>
      <w:r>
        <w:rPr>
          <w:rFonts w:ascii="" w:hAnsi="" w:cs="" w:eastAsia=""/>
          <w:b w:val="false"/>
          <w:i w:val="false"/>
          <w:strike w:val="false"/>
          <w:color w:val=""/>
        </w:rPr>
        <w:t>Menomonee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Valley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management stratagem is founded on natural means.  Developers are restoring wetlands and green space once prevalent in the valley and incorporating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management into parks.  There will be two main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management areas and a </w:t>
      </w:r>
      <w:r>
        <w:rPr>
          <w:rFonts w:ascii="" w:hAnsi="" w:cs="" w:eastAsia=""/>
          <w:b w:val="false"/>
          <w:i w:val="false"/>
          <w:strike w:val="false"/>
          <w:color w:val=""/>
        </w:rPr>
        <w:t>Swamp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Forest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to accommodate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from the surrounding developments.  These three areas will treat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in three steps.  First, all water will be collected and transferred through a system of pipes where it will accumulate in small pools of water.  Second,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will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disperse across the shallow wetland meadows and will infiltrate through crushed pieces of concrete (this layer is known as an ‘infiltration gallery’).  The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will then be distributed to the </w:t>
      </w:r>
      <w:r>
        <w:rPr>
          <w:rFonts w:ascii="" w:hAnsi="" w:cs="" w:eastAsia=""/>
          <w:b w:val="false"/>
          <w:i w:val="false"/>
          <w:strike w:val="false"/>
          <w:color w:val=""/>
        </w:rPr>
        <w:t>Swamp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Forest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where the natural vegetation will remove contaminants. </w:t>
      </w:r>
      <w:r>
        <w:rPr>
          <w:rFonts w:ascii="" w:hAnsi="" w:cs="" w:eastAsia=""/>
          <w:b w:val="false"/>
          <w:i w:val="false"/>
          <w:strike w:val="false"/>
          <w:color w:val=""/>
        </w:rPr>
        <w:t>In order to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decrease the actual amount of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, builders must limit the number of impervious surfaces.  By promoting permeable surfaces infiltration of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will be amplified.  Builders are also being urged to increase canopy coverage on their property, which will in turn contribute to the reduction of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>.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on MVBI Click Here [http://epic.cuir.uwm.edu/mvbi/other_docs.htm])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on the Master Land Use Plan Click Here [http://www.renewthevalley.org/files/pdf/MVIC%20-%20Master%20Use%20Plan%20-%20RACM%20Adopted.pdf])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Financial Structure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Section 108</w:t>
      </w:r>
      <w:r>
        <w:rPr>
          <w:rFonts w:ascii="" w:hAnsi="" w:cs="" w:eastAsia=""/>
          <w:b w:val="false"/>
          <w:i w:val="false"/>
          <w:strike w:val="false"/>
          <w:color w:val=""/>
        </w:rPr>
        <w:t>$10,000,000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BEDI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2,000,000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EPA Clean Up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$200,000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EDA BCR Loan Fund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1,125,000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HUD Neighborhood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1,950,000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DNR SUDA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$837,000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WI Commerce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1,250,000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Redevelopment Authority Loan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6,475,000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Total:</w:t>
      </w:r>
      <w:r>
        <w:rPr>
          <w:rFonts w:ascii="" w:hAnsi="" w:cs="" w:eastAsia=""/>
          <w:b w:val="false"/>
          <w:i w:val="false"/>
          <w:strike w:val="false"/>
          <w:color w:val=""/>
        </w:rPr>
        <w:t>$23,837,000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2018-05-14T17:52:18Z</dcterms:created>
  <dc:creator>Apache POI</dc:creator>
</cp:coreProperties>
</file>