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 then be distributed to the </w:t>
      </w:r>
      <w:r>
        <w:rPr>
          <w:rFonts w:ascii="" w:hAnsi="" w:cs="" w:eastAsia=""/>
          <w:b w:val="false"/>
          <w:i w:val="false"/>
          <w:strike w:val="false"/>
          <w:color w:val=""/>
        </w:rPr>
        <w:t>Swamp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Forest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where the natural vegetation will remove contaminants. </w:t>
      </w:r>
      <w:r>
        <w:rPr>
          <w:rFonts w:ascii="" w:hAnsi="" w:cs="" w:eastAsia=""/>
          <w:b w:val="false"/>
          <w:i w:val="false"/>
          <w:strike w:val="false"/>
          <w:color w:val=""/>
        </w:rPr>
        <w:t>In order to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decrease the actual amount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, builders must limit the number of impervious surfaces.  By promoting permeable surfaces infiltration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 be amplified.  Builders are also being urged to increase canopy coverage on their property, which will in turn contribute to the reduction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>.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MVBI Click Here [http://epic.cuir.uwm.edu/mvbi/other_docs.htm])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the Master Land Use Plan Click Here [http://www.renewthevalley.org/files/pdf/MVIC%20-%20Master%20Use%20Plan%20-%20RACM%20Adopted.pdf])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Financial Structure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Section 108</w:t>
      </w:r>
      <w:r>
        <w:rPr>
          <w:rFonts w:ascii="" w:hAnsi="" w:cs="" w:eastAsia=""/>
          <w:b w:val="false"/>
          <w:i w:val="false"/>
          <w:strike w:val="false"/>
          <w:color w:val=""/>
        </w:rPr>
        <w:t>$10,000,000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BEDI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2,000,000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2018-05-14T17:52:19Z</dcterms:created>
  <dc:creator>Apache POI</dc:creator>
</cp:coreProperties>
</file>