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p>
    <w:p>
      <w:pPr>
        <w:pStyle w:val=""/>
        <w:jc w:val="center"/>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9488"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bottom w:color="auto" w:space="0" w:sz="4" w:val="single"/>
            </w:tcBorders>
            <w:noWrap/>
            <w:vAlign w:val="bottom"/>
          </w:tcPr>
          <w:p w:rsidP="00FC75E1" w:rsidR="00FA1A52" w:rsidRDefault="00FA1A52" w:rsidRPr="005C3B6F">
            <w:pPr>
              <w:spacing w:after="40" w:before="40" w:line="180" w:lineRule="exact"/>
              <w:ind w:left="2"/>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91"/>
            <w:tcBorders>
              <w:top w:color="auto" w:space="0" w:sz="4" w:val="single"/>
              <w:bottom w:color="auto" w:space="0" w:sz="4" w:val="single"/>
            </w:tcBorders>
            <w:noWrap/>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6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c>
          <w:tcPr>
            <w:tcW w:type="dxa" w:w="1980"/>
            <w:tcBorders>
              <w:top w:color="auto" w:space="0" w:sz="4" w:val="single"/>
              <w:bottom w:color="auto" w:space="0" w:sz="4" w:val="single"/>
            </w:tcBorders>
            <w:vAlign w:val="bottom"/>
          </w:tcPr>
          <w:p w:rsidP="00FC75E1" w:rsidR="00FA1A52" w:rsidRDefault="00FA1A52" w:rsidRPr="005C3B6F">
            <w:pPr>
              <w:spacing w:after="40" w:before="40" w:line="180" w:lineRule="exact"/>
              <w:jc w:val="center"/>
              <w:rPr>
                <w:rFonts w:ascii="Arial" w:cs="Arial" w:eastAsia="Times New Roman" w:hAnsi="Arial"/>
                <w:sz w:val="18"/>
                <w:szCs w:val="18"/>
              </w:rPr>
            </w:pPr>
            <w:r w:rsidRPr="005C3B6F">
              <w:rPr>
                <w:rFonts w:ascii="Arial" w:cs="Arial" w:eastAsia="Times New Roman" w:hAnsi="Arial"/>
                <w:sz w:val="18"/>
                <w:szCs w:val="18"/>
              </w:rPr>
              <w:t>Activity</w:t>
            </w:r>
          </w:p>
        </w:tc>
        <w:tc>
          <w:tcPr>
            <w:tcW w:type="dxa" w:w="1350"/>
            <w:tcBorders>
              <w:top w:color="auto" w:space="0" w:sz="4" w:val="single"/>
              <w:bottom w:color="auto" w:space="0" w:sz="4" w:val="single"/>
            </w:tcBorders>
            <w:vAlign w:val="bottom"/>
          </w:tcPr>
          <w:p w:rsidP="00FC75E1" w:rsidR="00FA1A52" w:rsidRDefault="00FA1A52" w:rsidRPr="005C3B6F">
            <w:pPr>
              <w:spacing w:after="40" w:before="40" w:line="180" w:lineRule="exact"/>
              <w:ind w:left="-108"/>
              <w:jc w:val="center"/>
              <w:rPr>
                <w:rFonts w:ascii="Arial" w:cs="Arial" w:eastAsia="Times New Roman" w:hAnsi="Arial"/>
                <w:sz w:val="18"/>
                <w:szCs w:val="18"/>
              </w:rPr>
            </w:pPr>
            <w:r w:rsidRPr="005C3B6F">
              <w:rPr>
                <w:rFonts w:ascii="Arial" w:cs="Arial" w:eastAsia="Times New Roman" w:hAnsi="Arial"/>
                <w:sz w:val="18"/>
                <w:szCs w:val="18"/>
              </w:rPr>
              <w:t>Population mean (min)</w:t>
            </w:r>
          </w:p>
        </w:tc>
        <w:tc>
          <w:tcPr>
            <w:tcW w:type="dxa" w:w="1458"/>
            <w:tcBorders>
              <w:top w:color="auto" w:space="0" w:sz="4" w:val="single"/>
              <w:bottom w:color="auto" w:space="0" w:sz="4" w:val="single"/>
            </w:tcBorders>
          </w:tcPr>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Doer</w:t>
            </w:r>
          </w:p>
          <w:p w:rsidP="00FC75E1" w:rsidR="00FA1A52" w:rsidRDefault="00FA1A52" w:rsidRPr="005C3B6F">
            <w:pPr>
              <w:spacing w:after="40" w:before="40" w:line="180" w:lineRule="exact"/>
              <w:ind w:left="-18"/>
              <w:jc w:val="center"/>
              <w:rPr>
                <w:rFonts w:ascii="Arial" w:cs="Arial" w:eastAsia="Times New Roman" w:hAnsi="Arial"/>
                <w:sz w:val="18"/>
                <w:szCs w:val="18"/>
              </w:rPr>
            </w:pPr>
            <w:r w:rsidRPr="005C3B6F">
              <w:rPr>
                <w:rFonts w:ascii="Arial" w:cs="Arial" w:eastAsia="Times New Roman" w:hAnsi="Arial"/>
                <w:sz w:val="18"/>
                <w:szCs w:val="18"/>
              </w:rPr>
              <w:t>mean (min)*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top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Sleeping</w:t>
            </w:r>
          </w:p>
        </w:tc>
        <w:tc>
          <w:tcPr>
            <w:tcW w:type="dxa" w:w="1391"/>
            <w:tcBorders>
              <w:top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504</w:t>
            </w:r>
          </w:p>
        </w:tc>
        <w:tc>
          <w:tcPr>
            <w:tcW w:type="dxa" w:w="1468"/>
            <w:tcBorders>
              <w:top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506</w:t>
            </w:r>
          </w:p>
        </w:tc>
        <w:tc>
          <w:tcPr>
            <w:tcW w:type="dxa" w:w="1980"/>
            <w:tcBorders>
              <w:top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Child care</w:t>
            </w:r>
          </w:p>
        </w:tc>
        <w:tc>
          <w:tcPr>
            <w:tcW w:type="dxa" w:w="1350"/>
            <w:tcBorders>
              <w:top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18</w:t>
            </w:r>
          </w:p>
        </w:tc>
        <w:tc>
          <w:tcPr>
            <w:tcW w:type="dxa" w:w="1458"/>
            <w:tcBorders>
              <w:top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Working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194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424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Active sports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Electronic media</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143</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184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Outdoor recreation</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Travel</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Cultural events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10</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Eating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89</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93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Errands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8</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Socializing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115</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Car repair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6</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Personal care</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50</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58</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Hobbies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5</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Reading/writing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104</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Bars/lounges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Education</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46</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237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Animal care</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Cooking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38</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Singing/dancing</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106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House cleaning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34</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87</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Other</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Shopping</w:t>
            </w:r>
          </w:p>
        </w:tc>
        <w:tc>
          <w:tcPr>
            <w:tcW w:type="dxa" w:w="1391"/>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25</w:t>
            </w:r>
          </w:p>
        </w:tc>
        <w:tc>
          <w:tcPr>
            <w:tcW w:type="dxa" w:w="1468"/>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66</w:t>
            </w:r>
          </w:p>
        </w:tc>
        <w:tc>
          <w:tcPr>
            <w:tcW w:type="dxa" w:w="1980"/>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Dry cleaners</w:t>
            </w:r>
          </w:p>
        </w:tc>
        <w:tc>
          <w:tcPr>
            <w:tcW w:type="dxa" w:w="1350"/>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5C3B6F" w:rsidTr="00FC75E1">
        <w:trPr>
          <w:trHeight w:val="260"/>
        </w:trPr>
        <w:tc>
          <w:tcPr>
            <w:tcW w:type="dxa" w:w="1841"/>
            <w:tcBorders>
              <w:bottom w:color="auto" w:space="0" w:sz="4" w:val="single"/>
            </w:tcBorders>
            <w:noWrap/>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Yard work</w:t>
            </w:r>
          </w:p>
        </w:tc>
        <w:tc>
          <w:tcPr>
            <w:tcW w:type="dxa" w:w="1391"/>
            <w:tcBorders>
              <w:bottom w:color="auto" w:space="0" w:sz="4" w:val="single"/>
            </w:tcBorders>
            <w:noWrap/>
            <w:vAlign w:val="bottom"/>
          </w:tcPr>
          <w:p w:rsidP="00FC75E1" w:rsidR="00FA1A52" w:rsidRDefault="00FA1A52" w:rsidRPr="005C3B6F">
            <w:pPr>
              <w:tabs>
                <w:tab w:pos="681"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20</w:t>
            </w:r>
          </w:p>
        </w:tc>
        <w:tc>
          <w:tcPr>
            <w:tcW w:type="dxa" w:w="1468"/>
            <w:tcBorders>
              <w:bottom w:color="auto" w:space="0" w:sz="4" w:val="single"/>
            </w:tcBorders>
            <w:vAlign w:val="bottom"/>
          </w:tcPr>
          <w:p w:rsidP="00FC75E1" w:rsidR="00FA1A52" w:rsidRDefault="00FA1A52" w:rsidRPr="005C3B6F">
            <w:pPr>
              <w:tabs>
                <w:tab w:pos="820" w:val="decimal"/>
              </w:tabs>
              <w:spacing w:after="40" w:before="40" w:line="180" w:lineRule="exact"/>
              <w:ind w:left="-18"/>
              <w:jc w:val="both"/>
              <w:rPr>
                <w:rFonts w:ascii="Arial" w:cs="Arial" w:hAnsi="Arial"/>
                <w:sz w:val="18"/>
                <w:szCs w:val="18"/>
              </w:rPr>
            </w:pPr>
            <w:r w:rsidRPr="005C3B6F">
              <w:rPr>
                <w:rFonts w:ascii="Arial" w:cs="Arial" w:hAnsi="Arial"/>
                <w:sz w:val="18"/>
                <w:szCs w:val="18"/>
              </w:rPr>
              <w:t>111</w:t>
            </w:r>
          </w:p>
        </w:tc>
        <w:tc>
          <w:tcPr>
            <w:tcW w:type="dxa" w:w="1980"/>
            <w:tcBorders>
              <w:bottom w:color="auto" w:space="0" w:sz="4" w:val="single"/>
            </w:tcBorders>
            <w:vAlign w:val="bottom"/>
          </w:tcPr>
          <w:p w:rsidP="00FC75E1" w:rsidR="00FA1A52" w:rsidRDefault="00FA1A52" w:rsidRPr="005C3B6F">
            <w:pPr>
              <w:spacing w:after="40" w:before="40" w:line="180" w:lineRule="exact"/>
              <w:jc w:val="both"/>
              <w:rPr>
                <w:rFonts w:ascii="Arial" w:cs="Arial" w:eastAsia="Times New Roman" w:hAnsi="Arial"/>
                <w:sz w:val="18"/>
                <w:szCs w:val="18"/>
              </w:rPr>
            </w:pPr>
            <w:r w:rsidRPr="005C3B6F">
              <w:rPr>
                <w:rFonts w:ascii="Arial" w:cs="Arial" w:eastAsia="Times New Roman" w:hAnsi="Arial"/>
                <w:sz w:val="18"/>
                <w:szCs w:val="18"/>
              </w:rPr>
              <w:t>Services</w:t>
            </w:r>
          </w:p>
        </w:tc>
        <w:tc>
          <w:tcPr>
            <w:tcW w:type="dxa" w:w="1350"/>
            <w:tcBorders>
              <w:bottom w:color="auto" w:space="0" w:sz="4" w:val="single"/>
            </w:tcBorders>
            <w:vAlign w:val="bottom"/>
          </w:tcPr>
          <w:p w:rsidP="00FC75E1" w:rsidR="00FA1A52" w:rsidRDefault="00FA1A52" w:rsidRPr="005C3B6F">
            <w:pPr>
              <w:tabs>
                <w:tab w:pos="752" w:val="decimal"/>
              </w:tabs>
              <w:spacing w:after="40" w:before="40" w:line="180" w:lineRule="exact"/>
              <w:ind w:left="-108"/>
              <w:jc w:val="both"/>
              <w:rPr>
                <w:rFonts w:ascii="Arial" w:cs="Arial" w:eastAsia="Times New Roman" w:hAnsi="Arial"/>
                <w:sz w:val="18"/>
                <w:szCs w:val="18"/>
              </w:rPr>
            </w:pPr>
            <w:r w:rsidRPr="005C3B6F">
              <w:rPr>
                <w:rFonts w:ascii="Arial" w:cs="Arial" w:eastAsia="Times New Roman" w:hAnsi="Arial"/>
                <w:sz w:val="18"/>
                <w:szCs w:val="18"/>
              </w:rPr>
              <w:t>1</w:t>
            </w:r>
          </w:p>
        </w:tc>
        <w:tc>
          <w:tcPr>
            <w:tcW w:type="dxa" w:w="1458"/>
            <w:tcBorders>
              <w:bottom w:color="auto" w:space="0" w:sz="4" w:val="single"/>
            </w:tcBorders>
            <w:vAlign w:val="bottom"/>
          </w:tcPr>
          <w:p w:rsidP="00FC75E1" w:rsidR="00FA1A52" w:rsidRDefault="00FA1A52" w:rsidRPr="005C3B6F">
            <w:pPr>
              <w:tabs>
                <w:tab w:pos="808" w:val="decimal"/>
              </w:tabs>
              <w:spacing w:after="40" w:before="40" w:line="180" w:lineRule="exact"/>
              <w:ind w:left="-18"/>
              <w:jc w:val="both"/>
              <w:rPr>
                <w:rFonts w:ascii="Arial" w:cs="Arial" w:hAnsi="Arial"/>
                <w:sz w:val="18"/>
                <w:szCs w:val="18"/>
              </w:rPr>
            </w:pPr>
            <w:r w:rsidRPr="005C3B6F">
              <w:rPr>
                <w:rFonts w:ascii="Arial" w:cs="Arial" w:hAnsi="Arial"/>
                <w:sz w:val="18"/>
                <w:szCs w:val="18"/>
              </w:rPr>
              <w:t>83</w:t>
            </w:r>
          </w:p>
        </w:tc>
      </w:tr>
    </w:tbl>
    <w:p>
      <w:r>
        <w:t>
</w:t>
        <w:t>
</w:t>
      </w: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sz w:val="18"/>
                <w:szCs w:val="18"/>
              </w:rPr>
            </w:pPr>
            <w:r w:rsidRPr="005C3B6F">
              <w:rPr>
                <w:rFonts w:ascii="Arial" w:hAnsi="Arial"/>
                <w:sz w:val="18"/>
                <w:szCs w:val="18"/>
              </w:rPr>
              <w:t>Code</w:t>
            </w:r>
          </w:p>
        </w:tc>
        <w:tc>
          <w:tcPr>
            <w:tcW w:type="dxa" w:w="3960"/>
            <w:tcBorders>
              <w:top w:color="auto" w:space="0" w:sz="4" w:val="single"/>
              <w:bottom w:color="auto" w:space="0" w:sz="4" w:val="single"/>
            </w:tcBorders>
          </w:tcPr>
          <w:p w:rsidP="00FC75E1" w:rsidR="00FA1A52" w:rsidRDefault="00FA1A52" w:rsidRPr="005C3B6F">
            <w:pPr>
              <w:spacing w:after="40" w:before="40" w:line="180" w:lineRule="exact"/>
              <w:jc w:val="center"/>
              <w:rPr>
                <w:color w:val="000000"/>
                <w:sz w:val="18"/>
                <w:szCs w:val="18"/>
              </w:rPr>
            </w:pPr>
            <w:r w:rsidRPr="005C3B6F">
              <w:rPr>
                <w:rFonts w:ascii="Arial" w:hAnsi="Arial"/>
                <w:color w:val="000000"/>
                <w:sz w:val="18"/>
                <w:szCs w:val="18"/>
              </w:rPr>
              <w:t>Activity</w:t>
            </w:r>
          </w:p>
        </w:tc>
        <w:tc>
          <w:tcPr>
            <w:tcW w:type="dxa" w:w="720"/>
            <w:tcBorders>
              <w:top w:color="auto" w:space="0" w:sz="4" w:val="single"/>
              <w:bottom w:color="auto" w:space="0" w:sz="4" w:val="single"/>
            </w:tcBorders>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sz w:val="18"/>
                <w:szCs w:val="18"/>
              </w:rPr>
              <w:t>Code</w:t>
            </w:r>
          </w:p>
        </w:tc>
        <w:tc>
          <w:tcPr>
            <w:tcW w:type="dxa" w:w="4068"/>
            <w:tcBorders>
              <w:top w:color="auto" w:space="0" w:sz="4" w:val="single"/>
              <w:bottom w:color="auto" w:space="0" w:sz="4" w:val="single"/>
            </w:tcBorders>
          </w:tcPr>
          <w:p w:rsidP="00FC75E1" w:rsidR="00FA1A52" w:rsidRDefault="00FA1A52" w:rsidRPr="005C3B6F">
            <w:pPr>
              <w:spacing w:after="40" w:before="40" w:line="180" w:lineRule="exact"/>
              <w:jc w:val="center"/>
              <w:rPr>
                <w:rFonts w:ascii="Arial" w:hAnsi="Arial"/>
                <w:color w:val="000000"/>
                <w:sz w:val="18"/>
                <w:szCs w:val="18"/>
              </w:rPr>
            </w:pPr>
            <w:r w:rsidRPr="005C3B6F">
              <w:rPr>
                <w:rFonts w:ascii="Arial" w:hAnsi="Arial"/>
                <w:color w:val="000000"/>
                <w:sz w:val="18"/>
                <w:szCs w:val="18"/>
              </w:rPr>
              <w:t>Activity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top w:color="auto" w:space="0" w:sz="4" w:val="single"/>
            </w:tcBorders>
          </w:tcPr>
          <w:p w:rsidP="00FC75E1" w:rsidR="00FA1A52" w:rsidRDefault="00FA1A52" w:rsidRPr="005C3B6F">
            <w:pPr>
              <w:spacing w:after="40" w:before="40" w:line="180" w:lineRule="exact"/>
              <w:ind w:right="-108"/>
              <w:jc w:val="both"/>
              <w:rPr>
                <w:sz w:val="18"/>
                <w:szCs w:val="18"/>
              </w:rPr>
            </w:pPr>
            <w:r w:rsidRPr="005C3B6F">
              <w:rPr>
                <w:rFonts w:ascii="Arial" w:hAnsi="Arial"/>
                <w:sz w:val="18"/>
                <w:szCs w:val="18"/>
              </w:rPr>
              <w:t>11</w:t>
            </w:r>
          </w:p>
        </w:tc>
        <w:tc>
          <w:tcPr>
            <w:tcW w:type="dxa" w:w="396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Agriculture, Forestry, Fishing &amp; Hunting</w:t>
            </w:r>
          </w:p>
        </w:tc>
        <w:tc>
          <w:tcPr>
            <w:tcW w:type="dxa" w:w="720"/>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53</w:t>
            </w:r>
          </w:p>
        </w:tc>
        <w:tc>
          <w:tcPr>
            <w:tcW w:type="dxa" w:w="4068"/>
            <w:tcBorders>
              <w:top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Real Estate &amp; Rental &amp; Leasing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Mining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54</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Professional, Scientific, and Technical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Utilities</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55</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Management of Companies and Enterprises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23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Construction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56</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Administrative and Support and Waste Management and Remediation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31-33</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Manufacturing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Educational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42</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Wholesale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62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Health Care and Social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44-45</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Retail Trade</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71</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Arts, Entertainment, and Recreation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48-49</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Transportation &amp; Warehousing</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72</w:t>
            </w:r>
          </w:p>
        </w:tc>
        <w:tc>
          <w:tcPr>
            <w:tcW w:type="dxa" w:w="4068"/>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Accommodation and Food Services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51</w:t>
            </w:r>
          </w:p>
        </w:tc>
        <w:tc>
          <w:tcPr>
            <w:tcW w:type="dxa" w:w="396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Information</w:t>
            </w:r>
          </w:p>
        </w:tc>
        <w:tc>
          <w:tcPr>
            <w:tcW w:type="dxa" w:w="720"/>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81</w:t>
            </w:r>
          </w:p>
        </w:tc>
        <w:tc>
          <w:tcPr>
            <w:tcW w:type="dxa" w:w="4068"/>
          </w:tcPr>
          <w:p w:rsidP="00FC75E1" w:rsidR="00FA1A52" w:rsidRDefault="00FA1A52" w:rsidRPr="005C3B6F">
            <w:pPr>
              <w:spacing w:after="40" w:before="40" w:line="180" w:lineRule="exact"/>
              <w:jc w:val="both"/>
              <w:rPr>
                <w:rFonts w:ascii="Arial" w:hAnsi="Arial"/>
                <w:color w:val="000000"/>
                <w:sz w:val="18"/>
                <w:szCs w:val="18"/>
              </w:rPr>
            </w:pPr>
            <w:r w:rsidRPr="005C3B6F">
              <w:rPr>
                <w:rFonts w:ascii="Arial" w:hAnsi="Arial"/>
                <w:color w:val="000000"/>
                <w:sz w:val="18"/>
                <w:szCs w:val="18"/>
              </w:rPr>
              <w:t xml:space="preserve">Other Services </w:t>
            </w:r>
          </w:p>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(except Public Administration)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c>
          <w:tcPr>
            <w:tcW w:type="dxa" w:w="720"/>
            <w:tcBorders>
              <w:bottom w:color="auto" w:space="0" w:sz="4" w:val="single"/>
            </w:tcBorders>
          </w:tcPr>
          <w:p w:rsidP="00FC75E1" w:rsidR="00FA1A52" w:rsidRDefault="00FA1A52" w:rsidRPr="005C3B6F">
            <w:pPr>
              <w:spacing w:after="40" w:before="40" w:line="180" w:lineRule="exact"/>
              <w:ind w:right="-108"/>
              <w:jc w:val="both"/>
              <w:rPr>
                <w:color w:val="000000"/>
                <w:sz w:val="18"/>
                <w:szCs w:val="18"/>
              </w:rPr>
            </w:pPr>
            <w:r w:rsidRPr="005C3B6F">
              <w:rPr>
                <w:rFonts w:ascii="Arial" w:hAnsi="Arial"/>
                <w:color w:val="000000"/>
                <w:sz w:val="18"/>
                <w:szCs w:val="18"/>
              </w:rPr>
              <w:t>52</w:t>
            </w:r>
          </w:p>
        </w:tc>
        <w:tc>
          <w:tcPr>
            <w:tcW w:type="dxa" w:w="396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Finance and Insurance</w:t>
            </w:r>
          </w:p>
        </w:tc>
        <w:tc>
          <w:tcPr>
            <w:tcW w:type="dxa" w:w="720"/>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92</w:t>
            </w:r>
          </w:p>
        </w:tc>
        <w:tc>
          <w:tcPr>
            <w:tcW w:type="dxa" w:w="4068"/>
            <w:tcBorders>
              <w:bottom w:color="auto" w:space="0" w:sz="4" w:val="single"/>
            </w:tcBorders>
          </w:tcPr>
          <w:p w:rsidP="00FC75E1" w:rsidR="00FA1A52" w:rsidRDefault="00FA1A52" w:rsidRPr="005C3B6F">
            <w:pPr>
              <w:spacing w:after="40" w:before="40" w:line="180" w:lineRule="exact"/>
              <w:jc w:val="both"/>
              <w:rPr>
                <w:color w:val="000000"/>
                <w:sz w:val="18"/>
                <w:szCs w:val="18"/>
              </w:rPr>
            </w:pPr>
            <w:r w:rsidRPr="005C3B6F">
              <w:rPr>
                <w:rFonts w:ascii="Arial" w:hAnsi="Arial"/>
                <w:color w:val="000000"/>
                <w:sz w:val="18"/>
                <w:szCs w:val="18"/>
              </w:rPr>
              <w:t>Public Administration</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both"/>
      </w:pPr>
    </w:p>
    <w:p>
      <w:pPr>
        <w:pStyle w:val=""/>
        <w:jc w:val="both"/>
      </w:pPr>
    </w:p>
    <w:p>
      <w:pPr>
        <w:pStyle w:val=""/>
        <w:jc w:val="both"/>
      </w:pPr>
    </w:p>
    <w:p>
      <w:pPr>
        <w:pStyle w:val=""/>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72"/>
          <w:bottom w:type="dxa" w:w="0"/>
          <w:right w:type="dxa" w:w="72"/>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val="restart"/>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3964"/>
            <w:gridSpan w:val="4"/>
            <w:vAlign w:val="bottom"/>
          </w:tcPr>
          <w:p w:rsidP="00FC75E1" w:rsidR="00FA1A52" w:rsidRDefault="00FA1A52" w:rsidRPr="002B5138">
            <w:pPr>
              <w:pStyle w:val="Heading5"/>
              <w:spacing w:after="40" w:before="40" w:line="200" w:lineRule="exact"/>
              <w:rPr>
                <w:rFonts w:cs="Arial"/>
                <w:b w:val="0"/>
                <w:sz w:val="18"/>
                <w:szCs w:val="18"/>
              </w:rPr>
            </w:pPr>
            <w:r w:rsidRPr="002B5138">
              <w:rPr>
                <w:rFonts w:cs="Arial"/>
                <w:b w:val="0"/>
                <w:sz w:val="18"/>
                <w:szCs w:val="18"/>
              </w:rPr>
              <w:t>Week 1</w:t>
            </w:r>
          </w:p>
        </w:tc>
        <w:tc>
          <w:tcPr>
            <w:tcW w:type="dxa" w:w="3969"/>
            <w:gridSpan w:val="4"/>
            <w:vAlign w:val="bottom"/>
          </w:tcPr>
          <w:p w:rsidP="00FC75E1" w:rsidR="00FA1A52" w:rsidRDefault="00FA1A52" w:rsidRPr="002B5138">
            <w:pPr>
              <w:spacing w:after="40" w:before="40" w:line="200" w:lineRule="exact"/>
              <w:jc w:val="center"/>
              <w:rPr>
                <w:rFonts w:ascii="Arial" w:cs="Arial" w:hAnsi="Arial"/>
                <w:sz w:val="18"/>
                <w:szCs w:val="18"/>
              </w:rPr>
            </w:pPr>
            <w:r w:rsidRPr="002B5138">
              <w:rPr>
                <w:rFonts w:ascii="Arial" w:cs="Arial" w:hAnsi="Arial"/>
                <w:sz w:val="18"/>
                <w:szCs w:val="18"/>
              </w:rPr>
              <w:t>Week 2 and beyond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cantSplit/>
          <w:trHeight w:val="257"/>
          <w:jc w:val="center"/>
        </w:trPr>
        <w:tc>
          <w:tcPr>
            <w:tcW w:type="dxa" w:w="1269"/>
            <w:vMerge/>
            <w:tcBorders>
              <w:bottom w:color="auto" w:space="0" w:sz="4" w:val="single"/>
            </w:tcBorders>
          </w:tcPr>
          <w:p w:rsidP="00FC75E1" w:rsidR="00FA1A52" w:rsidRDefault="00FA1A52" w:rsidRPr="002B5138">
            <w:pPr>
              <w:spacing w:after="40" w:before="40" w:line="200" w:lineRule="exact"/>
              <w:ind w:firstLine="720"/>
              <w:jc w:val="both"/>
              <w:rPr>
                <w:rFonts w:ascii="Arial" w:cs="Arial" w:hAnsi="Arial"/>
                <w:b/>
                <w:sz w:val="18"/>
                <w:szCs w:val="18"/>
              </w:rPr>
            </w:pP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Emer-gency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Shelter</w:t>
            </w:r>
          </w:p>
        </w:tc>
        <w:tc>
          <w:tcPr>
            <w:tcW w:type="dxa" w:w="991"/>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r w:rsidRPr="002B5138">
              <w:rPr>
                <w:rFonts w:ascii="Arial" w:cs="Arial" w:hAnsi="Arial"/>
                <w:sz w:val="18"/>
                <w:szCs w:val="18"/>
              </w:rPr>
              <w:t>Temp-orary Housing</w:t>
            </w:r>
          </w:p>
        </w:tc>
        <w:tc>
          <w:tcPr>
            <w:tcW w:type="dxa" w:w="996"/>
            <w:tcBorders>
              <w:bottom w:color="auto" w:space="0" w:sz="4" w:val="single"/>
            </w:tcBorders>
            <w:vAlign w:val="bottom"/>
          </w:tcPr>
          <w:p w:rsidP="00FC75E1" w:rsidR="00FA1A52" w:rsidRDefault="00FA1A52" w:rsidRPr="002B5138">
            <w:pPr>
              <w:spacing w:after="40" w:before="40" w:line="200" w:lineRule="exact"/>
              <w:jc w:val="center"/>
              <w:rPr>
                <w:rFonts w:ascii="Arial" w:cs="Arial" w:eastAsia="Arial Unicode MS" w:hAnsi="Arial"/>
                <w:sz w:val="18"/>
                <w:szCs w:val="18"/>
              </w:rPr>
            </w:pPr>
            <w:smartTag w:element="City" w:uri="urn:schemas-microsoft-com:office:smarttags">
              <w:smartTag w:element="place" w:uri="urn:schemas-microsoft-com:office:smarttags">
                <w:r w:rsidRPr="002B5138">
                  <w:rPr>
                    <w:rFonts w:ascii="Arial" w:cs="Arial" w:hAnsi="Arial"/>
                    <w:sz w:val="18"/>
                    <w:szCs w:val="18"/>
                  </w:rPr>
                  <w:t>Perm</w:t>
                </w:r>
              </w:smartTag>
            </w:smartTag>
            <w:r w:rsidRPr="002B5138">
              <w:rPr>
                <w:rFonts w:ascii="Arial" w:cs="Arial" w:hAnsi="Arial"/>
                <w:sz w:val="18"/>
                <w:szCs w:val="18"/>
              </w:rPr>
              <w:t>-anent Housing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tcBorders>
              <w:top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Emergency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tcBorders>
              <w:top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.60</w:t>
            </w:r>
          </w:p>
        </w:tc>
        <w:tc>
          <w:tcPr>
            <w:tcW w:type="dxa" w:w="991"/>
            <w:tcBorders>
              <w:top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.40</w:t>
            </w:r>
          </w:p>
        </w:tc>
        <w:tc>
          <w:tcPr>
            <w:tcW w:type="dxa" w:w="991"/>
            <w:tcBorders>
              <w:top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top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.50</w:t>
            </w:r>
          </w:p>
        </w:tc>
        <w:tc>
          <w:tcPr>
            <w:tcW w:type="dxa" w:w="991"/>
            <w:tcBorders>
              <w:top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top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Shelter</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57"/>
          <w:jc w:val="center"/>
        </w:trPr>
        <w:tc>
          <w:tcPr>
            <w:tcW w:type="dxa" w:w="1269"/>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Temporary</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1"/>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.95</w:t>
            </w:r>
          </w:p>
        </w:tc>
        <w:tc>
          <w:tcPr>
            <w:tcW w:type="dxa" w:w="996"/>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Tr="00FC75E1">
        <w:tblPrEx>
          <w:tblCellMar>
            <w:top w:type="dxa" w:w="0"/>
            <w:bottom w:type="dxa" w:w="0"/>
          </w:tblCellMar>
        </w:tblPrEx>
        <w:trPr>
          <w:trHeight w:val="271"/>
          <w:jc w:val="center"/>
        </w:trPr>
        <w:tc>
          <w:tcPr>
            <w:tcW w:type="dxa" w:w="1269"/>
            <w:tcBorders>
              <w:bottom w:color="auto" w:space="0" w:sz="4" w:val="single"/>
            </w:tcBorders>
            <w:vAlign w:val="bottom"/>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Permanent</w:t>
            </w:r>
          </w:p>
          <w:p w:rsidP="00FC75E1" w:rsidR="00FA1A52" w:rsidRDefault="00FA1A52" w:rsidRPr="002B5138">
            <w:pPr>
              <w:spacing w:after="40" w:before="40" w:line="200" w:lineRule="exact"/>
              <w:jc w:val="both"/>
              <w:rPr>
                <w:rFonts w:ascii="Arial" w:cs="Arial" w:eastAsia="Arial Unicode MS" w:hAnsi="Arial"/>
                <w:sz w:val="18"/>
                <w:szCs w:val="18"/>
              </w:rPr>
            </w:pPr>
            <w:r w:rsidRPr="002B5138">
              <w:rPr>
                <w:rFonts w:ascii="Arial" w:cs="Arial" w:hAnsi="Arial"/>
                <w:sz w:val="18"/>
                <w:szCs w:val="18"/>
              </w:rPr>
              <w:t xml:space="preserve">  Housing</w:t>
            </w:r>
          </w:p>
        </w:tc>
        <w:tc>
          <w:tcPr>
            <w:tcW w:type="dxa" w:w="991"/>
            <w:tcBorders>
              <w:bottom w:color="auto" w:space="0" w:sz="4" w:val="single"/>
            </w:tcBorders>
            <w:vAlign w:val="bottom"/>
          </w:tcPr>
          <w:p w:rsidP="00FC75E1" w:rsidR="00FA1A52" w:rsidRDefault="00FA1A52" w:rsidRPr="002B5138">
            <w:pPr>
              <w:tabs>
                <w:tab w:pos="378"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.03</w:t>
            </w:r>
          </w:p>
        </w:tc>
        <w:tc>
          <w:tcPr>
            <w:tcW w:type="dxa" w:w="991"/>
            <w:tcBorders>
              <w:bottom w:color="auto" w:space="0" w:sz="4" w:val="single"/>
            </w:tcBorders>
            <w:vAlign w:val="bottom"/>
          </w:tcPr>
          <w:p w:rsidP="00FC75E1" w:rsidR="00FA1A52" w:rsidRDefault="00FA1A52" w:rsidRPr="002B5138">
            <w:pPr>
              <w:tabs>
                <w:tab w:pos="377"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.05</w:t>
            </w:r>
          </w:p>
        </w:tc>
        <w:tc>
          <w:tcPr>
            <w:tcW w:type="dxa" w:w="991"/>
            <w:tcBorders>
              <w:bottom w:color="auto" w:space="0" w:sz="4" w:val="single"/>
            </w:tcBorders>
            <w:vAlign w:val="bottom"/>
          </w:tcPr>
          <w:p w:rsidP="00FC75E1" w:rsidR="00FA1A52" w:rsidRDefault="00FA1A52" w:rsidRPr="002B5138">
            <w:pPr>
              <w:tabs>
                <w:tab w:pos="346"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30"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.92</w:t>
            </w:r>
          </w:p>
        </w:tc>
        <w:tc>
          <w:tcPr>
            <w:tcW w:type="dxa" w:w="991"/>
            <w:tcBorders>
              <w:bottom w:color="auto" w:space="0" w:sz="4" w:val="single"/>
            </w:tcBorders>
            <w:vAlign w:val="bottom"/>
          </w:tcPr>
          <w:p w:rsidP="00FC75E1" w:rsidR="00FA1A52" w:rsidRDefault="00FA1A52" w:rsidRPr="002B5138">
            <w:pPr>
              <w:tabs>
                <w:tab w:pos="329"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3"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1"/>
            <w:tcBorders>
              <w:bottom w:color="auto" w:space="0" w:sz="4" w:val="single"/>
            </w:tcBorders>
            <w:vAlign w:val="bottom"/>
          </w:tcPr>
          <w:p w:rsidP="00FC75E1" w:rsidR="00FA1A52" w:rsidRDefault="00FA1A52" w:rsidRPr="002B5138">
            <w:pPr>
              <w:tabs>
                <w:tab w:pos="372"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.00</w:t>
            </w:r>
          </w:p>
        </w:tc>
        <w:tc>
          <w:tcPr>
            <w:tcW w:type="dxa" w:w="996"/>
            <w:tcBorders>
              <w:bottom w:color="auto" w:space="0" w:sz="4" w:val="single"/>
            </w:tcBorders>
            <w:vAlign w:val="bottom"/>
          </w:tcPr>
          <w:p w:rsidP="00FC75E1" w:rsidR="00FA1A52" w:rsidRDefault="00FA1A52" w:rsidRPr="002B5138">
            <w:pPr>
              <w:tabs>
                <w:tab w:pos="371" w:val="decimal"/>
              </w:tabs>
              <w:spacing w:after="40" w:before="40" w:line="200" w:lineRule="exact"/>
              <w:jc w:val="both"/>
              <w:rPr>
                <w:rFonts w:ascii="Arial" w:cs="Arial" w:eastAsia="Arial Unicode MS" w:hAnsi="Arial"/>
                <w:sz w:val="18"/>
                <w:szCs w:val="18"/>
              </w:rPr>
            </w:pPr>
            <w:r w:rsidRPr="002B5138">
              <w:rPr>
                <w:rFonts w:ascii="Arial" w:cs="Arial" w:hAnsi="Arial"/>
                <w:sz w:val="18"/>
                <w:szCs w:val="18"/>
              </w:rPr>
              <w:t>1.00</w:t>
            </w:r>
          </w:p>
        </w:tc>
      </w:tr>
    </w:tbl>
    <w:p>
      <w:r>
        <w:t>
</w:t>
        <w:t>
</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er"/>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both"/>
      </w:pPr>
    </w:p>
    <w:p>
      <w:pPr>
        <w:pStyle w:val=""/>
        <w:jc w:val="both"/>
      </w:pPr>
    </w:p>
    <w:p>
      <w:pPr>
        <w:pStyle w:val=""/>
        <w:jc w:val="both"/>
      </w:pPr>
    </w:p>
    <w:p>
      <w:pPr>
        <w:pStyle w:val=""/>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Problem Perceived To Be Large</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Anglo</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Black</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Hispanic</w:t>
            </w:r>
          </w:p>
        </w:tc>
        <w:tc>
          <w:tcPr>
            <w:tcW w:type="dxa" w:w="990"/>
            <w:tcBorders>
              <w:top w:color="auto" w:space="0" w:sz="4" w:val="single"/>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Total</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top w:color="auto" w:space="0" w:sz="4" w:val="single"/>
            </w:tcBorders>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mortgage companies about insurance money</w:t>
            </w:r>
          </w:p>
        </w:tc>
        <w:tc>
          <w:tcPr>
            <w:tcW w:type="dxa" w:w="990"/>
            <w:tcBorders>
              <w:top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49</w:t>
            </w:r>
          </w:p>
        </w:tc>
        <w:tc>
          <w:tcPr>
            <w:tcW w:type="dxa" w:w="990"/>
            <w:tcBorders>
              <w:top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68</w:t>
            </w:r>
          </w:p>
        </w:tc>
        <w:tc>
          <w:tcPr>
            <w:tcW w:type="dxa" w:w="990"/>
            <w:tcBorders>
              <w:top w:color="auto" w:space="0" w:sz="4" w:val="single"/>
            </w:tcBorders>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building inspectors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76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damaged home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conditions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55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39</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Living in temporary quarters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61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insurance companies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26</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48</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contractors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Unemployment</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30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Household finances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Neighborhood crime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34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23</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16</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Transportation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2</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Job relocation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Dealing with agencies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20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Behavioral problems with children</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19</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18</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10</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Family violence</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17</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11</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5</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Pr>
          <w:p w:rsidP="00FC75E1" w:rsidR="00FA1A52" w:rsidRDefault="00FA1A52" w:rsidRPr="002B5138">
            <w:pPr>
              <w:spacing w:after="40" w:before="40" w:line="200" w:lineRule="exact"/>
              <w:ind w:hanging="252" w:left="252"/>
              <w:jc w:val="both"/>
              <w:rPr>
                <w:rFonts w:ascii="Arial" w:cs="Arial" w:hAnsi="Arial"/>
                <w:sz w:val="18"/>
                <w:szCs w:val="18"/>
              </w:rPr>
            </w:pPr>
            <w:r w:rsidRPr="002B5138">
              <w:rPr>
                <w:rFonts w:ascii="Arial" w:cs="Arial" w:hAnsi="Arial"/>
                <w:sz w:val="18"/>
                <w:szCs w:val="18"/>
              </w:rPr>
              <w:t>Gain of member(s)</w:t>
            </w:r>
          </w:p>
        </w:tc>
        <w:tc>
          <w:tcPr>
            <w:tcW w:type="dxa" w:w="990"/>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14</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Pr>
          <w:p w:rsidP="00FC75E1" w:rsidR="00FA1A52" w:rsidRDefault="00FA1A52" w:rsidRPr="002B5138">
            <w:pPr>
              <w:tabs>
                <w:tab w:pos="462" w:val="decimal"/>
              </w:tabs>
              <w:spacing w:after="40" w:before="40" w:line="200" w:lineRule="exact"/>
              <w:jc w:val="both"/>
              <w:rPr>
                <w:rFonts w:ascii="Arial" w:cs="Arial" w:hAnsi="Arial"/>
                <w:sz w:val="18"/>
                <w:szCs w:val="18"/>
              </w:rPr>
            </w:pPr>
            <w:r w:rsidRPr="002B5138">
              <w:rPr>
                <w:rFonts w:ascii="Arial" w:cs="Arial" w:hAnsi="Arial"/>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2B5138" w:rsidTr="00FC75E1">
        <w:tc>
          <w:tcPr>
            <w:tcW w:type="dxa" w:w="5400"/>
            <w:tcBorders>
              <w:bottom w:color="auto" w:space="0" w:sz="4" w:val="single"/>
            </w:tcBorders>
          </w:tcPr>
          <w:p w:rsidP="00FC75E1" w:rsidR="00FA1A52" w:rsidRDefault="00FA1A52" w:rsidRPr="002B5138">
            <w:pPr>
              <w:spacing w:after="40" w:before="40" w:line="200" w:lineRule="exact"/>
              <w:jc w:val="both"/>
              <w:rPr>
                <w:rFonts w:ascii="Arial" w:cs="Arial" w:hAnsi="Arial"/>
                <w:sz w:val="18"/>
                <w:szCs w:val="18"/>
              </w:rPr>
            </w:pPr>
            <w:r w:rsidRPr="002B5138">
              <w:rPr>
                <w:rFonts w:ascii="Arial" w:cs="Arial" w:hAnsi="Arial"/>
                <w:sz w:val="18"/>
                <w:szCs w:val="18"/>
              </w:rPr>
              <w:t>Loss of member(s)</w:t>
            </w:r>
          </w:p>
        </w:tc>
        <w:tc>
          <w:tcPr>
            <w:tcW w:type="dxa" w:w="990"/>
            <w:tcBorders>
              <w:bottom w:color="auto" w:space="0" w:sz="4" w:val="single"/>
            </w:tcBorders>
          </w:tcPr>
          <w:p w:rsidP="00FC75E1" w:rsidR="00FA1A52" w:rsidRDefault="00FA1A52" w:rsidRPr="002B5138">
            <w:pPr>
              <w:tabs>
                <w:tab w:pos="492" w:val="decimal"/>
              </w:tabs>
              <w:spacing w:after="40" w:before="40" w:line="200" w:lineRule="exact"/>
              <w:jc w:val="both"/>
              <w:rPr>
                <w:rFonts w:ascii="Arial" w:cs="Arial" w:hAnsi="Arial"/>
                <w:sz w:val="18"/>
                <w:szCs w:val="18"/>
              </w:rPr>
            </w:pPr>
            <w:r w:rsidRPr="002B5138">
              <w:rPr>
                <w:rFonts w:ascii="Arial" w:cs="Arial" w:hAnsi="Arial"/>
                <w:sz w:val="18"/>
                <w:szCs w:val="18"/>
              </w:rPr>
              <w:t>4</w:t>
            </w:r>
          </w:p>
        </w:tc>
        <w:tc>
          <w:tcPr>
            <w:tcW w:type="dxa" w:w="990"/>
            <w:tcBorders>
              <w:bottom w:color="auto" w:space="0" w:sz="4" w:val="single"/>
            </w:tcBorders>
          </w:tcPr>
          <w:p w:rsidP="00FC75E1" w:rsidR="00FA1A52" w:rsidRDefault="00FA1A52" w:rsidRPr="002B5138">
            <w:pPr>
              <w:tabs>
                <w:tab w:pos="432" w:val="decimal"/>
              </w:tabs>
              <w:spacing w:after="40" w:before="40" w:line="200" w:lineRule="exact"/>
              <w:jc w:val="both"/>
              <w:rPr>
                <w:rFonts w:ascii="Arial" w:cs="Arial" w:hAnsi="Arial"/>
                <w:sz w:val="18"/>
                <w:szCs w:val="18"/>
              </w:rPr>
            </w:pPr>
            <w:r w:rsidRPr="002B5138">
              <w:rPr>
                <w:rFonts w:ascii="Arial" w:cs="Arial" w:hAnsi="Arial"/>
                <w:sz w:val="18"/>
                <w:szCs w:val="18"/>
              </w:rPr>
              <w:t>0</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13</w:t>
            </w:r>
          </w:p>
        </w:tc>
        <w:tc>
          <w:tcPr>
            <w:tcW w:type="dxa" w:w="990"/>
            <w:tcBorders>
              <w:bottom w:color="auto" w:space="0" w:sz="4" w:val="single"/>
            </w:tcBorders>
          </w:tcPr>
          <w:p w:rsidP="00FC75E1" w:rsidR="00FA1A52" w:rsidRDefault="00FA1A52" w:rsidRPr="002B5138">
            <w:pPr>
              <w:tabs>
                <w:tab w:pos="447" w:val="decimal"/>
              </w:tabs>
              <w:spacing w:after="40" w:before="40" w:line="200" w:lineRule="exact"/>
              <w:jc w:val="both"/>
              <w:rPr>
                <w:rFonts w:ascii="Arial" w:cs="Arial" w:hAnsi="Arial"/>
                <w:sz w:val="18"/>
                <w:szCs w:val="18"/>
              </w:rPr>
            </w:pPr>
            <w:r w:rsidRPr="002B5138">
              <w:rPr>
                <w:rFonts w:ascii="Arial" w:cs="Arial" w:hAnsi="Arial"/>
                <w:sz w:val="18"/>
                <w:szCs w:val="18"/>
              </w:rPr>
              <w:t>4</w:t>
            </w:r>
          </w:p>
        </w:tc>
      </w:tr>
    </w:tbl>
    <w:p>
      <w:r>
        <w:t>
</w:t>
        <w:t>
</w:t>
      </w:r>
    </w:p>
    <w:p>
      <w:pPr>
        <w:pStyle w:val=""/>
        <w:jc w:val="both"/>
      </w:pPr>
    </w:p>
    <w:p>
      <w:pPr>
        <w:pStyle w:val="BodyTextIndent2"/>
        <w:jc w:val="both"/>
      </w:pPr>
    </w:p>
    <w:p>
      <w:pPr>
        <w:pStyle w:val=""/>
        <w:jc w:val="both"/>
      </w:pPr>
    </w:p>
    <w:p>
      <w:pPr>
        <w:pStyle w:val=""/>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
        <w:jc w:val="both"/>
      </w:pPr>
    </w:p>
    <w:p>
      <w:pPr>
        <w:pStyle w:val=""/>
        <w:jc w:val="both"/>
      </w:pPr>
    </w:p>
    <w:p>
      <w:pPr>
        <w:pStyle w:val="Heading1"/>
        <w:jc w:val="both"/>
      </w:pPr>
    </w:p>
    <w:p>
      <w:pPr>
        <w:pStyle w:val="BodyTextIndent2"/>
        <w:jc w:val="both"/>
      </w:pPr>
    </w:p>
    <w:p>
      <w:pPr>
        <w:pStyle w:val=""/>
        <w:jc w:val="both"/>
      </w:pPr>
    </w:p>
    <w:tbl>
      <w:tblPr>
        <w:tblStyle w:val=""/>
        <w:tblStyleRowBandSize w:val="0"/>
        <w:tblStyleColBandSize w:val="0"/>
        <w:tblW w:w="939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Businesses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Employees Change (%)</w:t>
            </w:r>
          </w:p>
        </w:tc>
        <w:tc>
          <w:tcPr>
            <w:tcW w:type="dxa" w:w="2460"/>
            <w:gridSpan w:val="2"/>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Sales Volume Change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8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r w:rsidRPr="00AE5775">
              <w:rPr>
                <w:rFonts w:ascii="Arial" w:hAnsi="Arial"/>
                <w:color w:val="000000"/>
                <w:sz w:val="18"/>
                <w:szCs w:val="18"/>
              </w:rPr>
              <w:t>Industry</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place" w:uri="urn:schemas-microsoft-com:office:smarttags">
              <w:smartTag w:element="PlaceName" w:uri="urn:schemas-microsoft-com:office:smarttags">
                <w:r w:rsidRPr="00AE5775">
                  <w:rPr>
                    <w:rFonts w:ascii="Arial" w:hAnsi="Arial"/>
                    <w:color w:val="000000"/>
                    <w:sz w:val="18"/>
                    <w:szCs w:val="18"/>
                  </w:rPr>
                  <w:t>Florida</w:t>
                </w:r>
              </w:smartTag>
              <w:r w:rsidRPr="00AE5775">
                <w:rPr>
                  <w:rFonts w:ascii="Arial" w:hAnsi="Arial"/>
                  <w:color w:val="000000"/>
                  <w:sz w:val="18"/>
                  <w:szCs w:val="18"/>
                </w:rPr>
                <w:t xml:space="preserve"> </w:t>
              </w:r>
              <w:smartTag w:element="PlaceType" w:uri="urn:schemas-microsoft-com:office:smarttags">
                <w:r w:rsidRPr="00AE5775">
                  <w:rPr>
                    <w:rFonts w:ascii="Arial" w:hAnsi="Arial"/>
                    <w:color w:val="000000"/>
                    <w:sz w:val="18"/>
                    <w:szCs w:val="18"/>
                  </w:rPr>
                  <w:t>City</w:t>
                </w:r>
              </w:smartTag>
            </w:smartTag>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center"/>
              <w:rPr>
                <w:rFonts w:ascii="Arial" w:hAnsi="Arial"/>
                <w:color w:val="000000"/>
                <w:sz w:val="18"/>
                <w:szCs w:val="18"/>
              </w:rPr>
            </w:pPr>
            <w:smartTag w:element="City" w:uri="urn:schemas-microsoft-com:office:smarttags">
              <w:smartTag w:element="place" w:uri="urn:schemas-microsoft-com:office:smarttags">
                <w:r w:rsidRPr="00AE5775">
                  <w:rPr>
                    <w:rFonts w:ascii="Arial" w:hAnsi="Arial"/>
                    <w:color w:val="000000"/>
                    <w:sz w:val="18"/>
                    <w:szCs w:val="18"/>
                  </w:rPr>
                  <w:t>Homestead</w:t>
                </w:r>
              </w:smartTag>
            </w:smartTag>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7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Agriculture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112"/>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Construction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Manufacturing</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Transportation/</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communication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-100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Wholesale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Retail trade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-84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470"/>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Finance/</w:t>
            </w:r>
          </w:p>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insurance/real estate</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-20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Business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-94</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Professional services</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-45</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-73</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+16</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3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9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AE5775" w:rsidTr="00FC75E1">
        <w:tblPrEx>
          <w:tblCellMar>
            <w:top w:type="dxa" w:w="0"/>
            <w:bottom w:type="dxa" w:w="0"/>
          </w:tblCellMar>
        </w:tblPrEx>
        <w:trPr>
          <w:trHeight w:val="235"/>
        </w:trPr>
        <w:tc>
          <w:tcPr>
            <w:tcW w:type="dxa" w:w="201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0" w:before="40" w:line="180" w:lineRule="exact"/>
              <w:jc w:val="both"/>
              <w:rPr>
                <w:rFonts w:ascii="Arial" w:hAnsi="Arial"/>
                <w:color w:val="000000"/>
                <w:sz w:val="18"/>
                <w:szCs w:val="18"/>
              </w:rPr>
            </w:pPr>
            <w:r w:rsidRPr="00AE5775">
              <w:rPr>
                <w:rFonts w:ascii="Arial" w:hAnsi="Arial"/>
                <w:color w:val="000000"/>
                <w:sz w:val="18"/>
                <w:szCs w:val="18"/>
              </w:rPr>
              <w:t>Public administration</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-50</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20"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+38</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70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-69</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tabs>
                <w:tab w:pos="615" w:val="decimal"/>
              </w:tabs>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+7</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c>
          <w:tcPr>
            <w:tcW w:type="dxa" w:w="1230"/>
            <w:tcBorders>
              <w:top w:color="000000" w:space="0" w:sz="2" w:val="single"/>
              <w:left w:color="000000" w:space="0" w:sz="2" w:val="single"/>
              <w:bottom w:color="000000" w:space="0" w:sz="2" w:val="single"/>
              <w:right w:color="000000" w:space="0" w:sz="2" w:val="single"/>
            </w:tcBorders>
          </w:tcPr>
          <w:p w:rsidP="00FC75E1" w:rsidR="00FA1A52" w:rsidRDefault="00FA1A52" w:rsidRPr="00AE5775">
            <w:pPr>
              <w:autoSpaceDE w:val="0"/>
              <w:autoSpaceDN w:val="0"/>
              <w:adjustRightInd w:val="0"/>
              <w:spacing w:after="48" w:afterLines="20" w:before="48" w:beforeLines="20" w:line="180" w:lineRule="exact"/>
              <w:jc w:val="both"/>
              <w:rPr>
                <w:rFonts w:ascii="Arial" w:hAnsi="Arial"/>
                <w:color w:val="000000"/>
                <w:sz w:val="18"/>
                <w:szCs w:val="18"/>
              </w:rPr>
            </w:pPr>
            <w:r w:rsidRPr="00AE5775">
              <w:rPr>
                <w:rFonts w:ascii="Arial" w:hAnsi="Arial"/>
                <w:color w:val="000000"/>
                <w:sz w:val="18"/>
                <w:szCs w:val="18"/>
              </w:rPr>
              <w:t>n/a*</w:t>
            </w:r>
          </w:p>
        </w:tc>
      </w:tr>
    </w:tbl>
    <w:p>
      <w:r>
        <w:t>
</w:t>
        <w:t>
</w:t>
      </w: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BodyTextIndent2"/>
        <w:jc w:val="both"/>
      </w:pPr>
    </w:p>
    <w:p>
      <w:pPr>
        <w:pStyle w:val="Heading1"/>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Disaster Assessment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Rapid assessment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Victims’ needs assessments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Preliminary damage assessment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“Lessons learned”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Site assessment</w:t>
            </w:r>
          </w:p>
        </w:tc>
        <w:tc>
          <w:tcPr>
            <w:tcW w:type="dxa" w:w="4600"/>
            <w:tcBorders>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Short Term Recovery</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Impact area security</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Emergency demolition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Temporary shelter/housing</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Repair permitting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restoration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Donations management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Debris management</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assistance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Long Term Reconstruction</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Hazard source control and area protection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Infrastructure resilience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Land use practices</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Historic preservation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Building construction practices</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Environmental recovery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health/mental health recovery</w:t>
            </w:r>
          </w:p>
        </w:tc>
        <w:tc>
          <w:tcPr>
            <w:tcW w:type="dxa" w:w="4600"/>
            <w:tcBorders>
              <w:left w:val="nil"/>
              <w:bottom w:val="nil"/>
              <w:right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Disaster memorialization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val="nil"/>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Economic development</w:t>
            </w:r>
          </w:p>
        </w:tc>
        <w:tc>
          <w:tcPr>
            <w:tcW w:type="dxa" w:w="4600"/>
            <w:tcBorders>
              <w:top w:val="nil"/>
              <w:bottom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top w:color="auto" w:space="0" w:sz="4" w:val="single"/>
            </w:tcBorders>
          </w:tcPr>
          <w:p w:rsidP="00FC75E1" w:rsidR="00FA1A52" w:rsidRDefault="00FA1A52" w:rsidRPr="0004393F">
            <w:pPr>
              <w:pStyle w:val="BodyTextIndent2"/>
              <w:spacing w:after="40" w:before="40" w:line="200" w:lineRule="exact"/>
              <w:ind w:firstLine="0"/>
              <w:jc w:val="both"/>
              <w:rPr>
                <w:rFonts w:ascii="Arial" w:hAnsi="Arial"/>
                <w:i/>
                <w:sz w:val="18"/>
                <w:szCs w:val="18"/>
              </w:rPr>
            </w:pPr>
            <w:r w:rsidRPr="0004393F">
              <w:rPr>
                <w:rFonts w:ascii="Arial" w:hAnsi="Arial"/>
                <w:i/>
                <w:sz w:val="18"/>
                <w:szCs w:val="18"/>
              </w:rPr>
              <w:t>Recovery Management</w:t>
            </w:r>
          </w:p>
        </w:tc>
        <w:tc>
          <w:tcPr>
            <w:tcW w:type="dxa" w:w="4600"/>
            <w:tcBorders>
              <w:top w:color="auto" w:space="0" w:sz="4" w:val="single"/>
              <w:right w:color="auto" w:space="0" w:sz="4" w:val="single"/>
            </w:tcBorders>
          </w:tcPr>
          <w:p w:rsidP="00FC75E1" w:rsidR="00FA1A52" w:rsidRDefault="00FA1A52" w:rsidRPr="0004393F">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Agency notification and mobilization</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Public information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Mobilization of recovery facilities and equipment</w:t>
            </w:r>
          </w:p>
        </w:tc>
        <w:tc>
          <w:tcPr>
            <w:tcW w:type="dxa" w:w="4600"/>
            <w:tcBorders>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Recovery legal authority and financing</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val="nil"/>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Internal direction and control</w:t>
            </w:r>
          </w:p>
        </w:tc>
        <w:tc>
          <w:tcPr>
            <w:tcW w:type="dxa" w:w="4600"/>
            <w:tcBorders>
              <w:bottom w:val="nil"/>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Administrative and logistical support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4393F" w:rsidTr="00FC75E1">
        <w:tc>
          <w:tcPr>
            <w:tcW w:type="dxa" w:w="4760"/>
            <w:tcBorders>
              <w:bottom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External coordination</w:t>
            </w:r>
          </w:p>
        </w:tc>
        <w:tc>
          <w:tcPr>
            <w:tcW w:type="dxa" w:w="4600"/>
            <w:tcBorders>
              <w:bottom w:color="auto" w:space="0" w:sz="4" w:val="single"/>
              <w:right w:color="auto" w:space="0" w:sz="4" w:val="single"/>
            </w:tcBorders>
          </w:tcPr>
          <w:p w:rsidP="00FC75E1" w:rsidR="00FA1A52" w:rsidRDefault="00FA1A52" w:rsidRPr="0004393F">
            <w:pPr>
              <w:pStyle w:val="BodyTextIndent2"/>
              <w:numPr>
                <w:ilvl w:val="0"/>
                <w:numId w:val="11"/>
              </w:numPr>
              <w:tabs>
                <w:tab w:pos="720" w:val="clear"/>
                <w:tab w:pos="180" w:val="num"/>
              </w:tabs>
              <w:spacing w:after="40" w:before="40" w:line="200" w:lineRule="exact"/>
              <w:ind w:hanging="180" w:left="180"/>
              <w:jc w:val="both"/>
              <w:rPr>
                <w:rFonts w:ascii="Arial" w:hAnsi="Arial"/>
                <w:sz w:val="18"/>
                <w:szCs w:val="18"/>
              </w:rPr>
            </w:pPr>
            <w:r w:rsidRPr="0004393F">
              <w:rPr>
                <w:rFonts w:ascii="Arial" w:hAnsi="Arial"/>
                <w:sz w:val="18"/>
                <w:szCs w:val="18"/>
              </w:rPr>
              <w:t>Documentation</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15"/>
        </w:trPr>
        <w:tc>
          <w:tcPr>
            <w:tcW w:type="dxa" w:w="4671"/>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Damage Assessment</w:t>
            </w:r>
          </w:p>
        </w:tc>
        <w:tc>
          <w:tcPr>
            <w:tcW w:type="dxa" w:w="4689"/>
            <w:tcBorders>
              <w:top w:color="auto" w:space="0" w:sz="4" w:val="single"/>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Routine Construction Cost Estimation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60"/>
        </w:trPr>
        <w:tc>
          <w:tcPr>
            <w:tcW w:type="dxa" w:w="4671"/>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 xml:space="preserve">Rapid Damage Assessment </w:t>
            </w:r>
          </w:p>
        </w:tc>
        <w:tc>
          <w:tcPr>
            <w:tcW w:type="dxa" w:w="4689"/>
            <w:tcBorders>
              <w:top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43"/>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Damage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270"/>
        </w:trPr>
        <w:tc>
          <w:tcPr>
            <w:tcW w:type="dxa" w:w="4671"/>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noProof/>
                <w:sz w:val="18"/>
                <w:szCs w:val="18"/>
              </w:rPr>
              <mc:AlternateContent>
                <mc:Choice Requires="wps">
                  <w:drawing>
                    <wp:anchor allowOverlap="1" behindDoc="0" distB="0" distL="114300" distR="114300" distT="0" layoutInCell="1" locked="0" relativeHeight="251661312" simplePos="0">
                      <wp:simplePos x="0" y="0"/>
                      <wp:positionH relativeFrom="column">
                        <wp:posOffset>1080135</wp:posOffset>
                      </wp:positionH>
                      <wp:positionV relativeFrom="paragraph">
                        <wp:posOffset>100330</wp:posOffset>
                      </wp:positionV>
                      <wp:extent cx="1828800" cy="0"/>
                      <wp:effectExtent b="58420" l="5715" r="22860" t="558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from="85.05pt,7.9pt" id="Straight Connector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LHnlMQIAAFgEAAAOAAAAZHJzL2Uyb0RvYy54bWysVMuu2yAQ3VfqPyD2ie00SR0rzlVlJ93c 9kbK7QcQwDYqBgQkTlT13zuQR5t2U1XNggwwHM6cM3j5dOolOnLrhFYlzsYpRlxRzYRqS/zldTPK MXKeKEakVrzEZ+7w0+rtm+VgCj7RnZaMWwQgyhWDKXHnvSmSxNGO98SNteEKNhtte+JhatuEWTIA ei+TSZrOk0FbZqym3DlYrS+beBXxm4ZT/9I0jnskSwzcfBxtHPdhTFZLUrSWmE7QKw3yDyx6IhRc eoeqiSfoYMUfUL2gVjvd+DHVfaKbRlAea4BqsvS3anYdMTzWAuI4c5fJ/T9Y+vm4tUgw8A4jRXqw aOctEW3nUaWVAgG1RVnQaTCugPRKbW2olJ7Uzjxr+tUhpauOqJZHvq9nAyDxRPJwJEycgdv2wyfN IIccvI6inRrbB0iQA52iN+e7N/zkEYXFLJ/keQoW0tteQorbQWOd/8h1j0JQYilUkI0U5PjsPFCH 1FtKWFZ6I6SM1kuFhhIvZpNZPOC0FCxshjRn230lLTqS0DzxF3QAsIc0qw+KRbCOE7a+xp4ICTHy UQ5vBQgkOQ639ZxhJDm8lxBdEKUKN0KxQPgaXfrn2yJdrPN1Ph1NJ/P1aJrW9ejDppqO5pvs/ax+ V1dVnX0P5LNp0QnGuAr8b72cTf+uV66v6tKF926+C5U8okcRgOztP5KObgeDL62y1+y8taG6YDy0 b0y+PrXwPn6dx6yfH4TVDwAAAP//AwBQSwMEFAAGAAgAAAAhAEhQkLTdAAAACQEAAA8AAABkcnMv ZG93bnJldi54bWxMT01Lw0AQvQv+h2UEb3YTsTbEbEoR6qVVaSuit212TEKzs2F308Z/74gHe5v3 wZv3ivloO3FEH1pHCtJJAgKpcqalWsHbbnmTgQhRk9GdI1TwjQHm5eVFoXPjTrTB4zbWgkMo5FpB E2OfSxmqBq0OE9cjsfblvNWRoa+l8frE4baTt0lyL61uiT80usfHBqvDdrAKNuvlKntfDWPlP5/S l93r+vkjZEpdX42LBxARx/hvht/6XB1K7rR3A5kgOsazJGUrH1OewIa7acbE/o+QZSHPF5Q/AAAA //8DAFBLAQItABQABgAIAAAAIQC2gziS/gAAAOEBAAATAAAAAAAAAAAAAAAAAAAAAABbQ29udGVu dF9UeXBlc10ueG1sUEsBAi0AFAAGAAgAAAAhADj9If/WAAAAlAEAAAsAAAAAAAAAAAAAAAAALwEA AF9yZWxzLy5yZWxzUEsBAi0AFAAGAAgAAAAhACkseeUxAgAAWAQAAA4AAAAAAAAAAAAAAAAALgIA AGRycy9lMm9Eb2MueG1sUEsBAi0AFAAGAAgAAAAhAEhQkLTdAAAACQEAAA8AAAAAAAAAAAAAAAAA iwQAAGRycy9kb3ducmV2LnhtbFBLBQYAAAAABAAEAPMAAACVBQAAAAA= "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o="229.05pt,7.9pt" w14:anchorId="7ED97398">
                      <v:stroke endarrow="block"/>
                    </v:line>
                  </w:pict>
                </mc:Fallback>
              </mc:AlternateContent>
            </w:r>
            <w:r w:rsidRPr="000C4EFB">
              <w:rPr>
                <w:rFonts w:ascii="Arial" w:hAnsi="Arial"/>
                <w:sz w:val="18"/>
                <w:szCs w:val="18"/>
              </w:rPr>
              <w:t>Site Assessment</w:t>
            </w:r>
          </w:p>
        </w:tc>
        <w:tc>
          <w:tcPr>
            <w:tcW w:type="dxa" w:w="4689"/>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Preliminary Cost Estimate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A1A52" w:rsidRPr="000C4EFB" w:rsidTr="00FC75E1">
        <w:tblPrEx>
          <w:tblCellMar>
            <w:top w:type="dxa" w:w="0"/>
            <w:bottom w:type="dxa" w:w="0"/>
          </w:tblCellMar>
        </w:tblPrEx>
        <w:trPr>
          <w:trHeight w:val="140"/>
        </w:trPr>
        <w:tc>
          <w:tcPr>
            <w:tcW w:type="dxa" w:w="4671"/>
            <w:tcBorders>
              <w:bottom w:color="auto" w:space="0" w:sz="4" w:val="single"/>
            </w:tcBorders>
          </w:tcPr>
          <w:p w:rsidP="00FC75E1" w:rsidR="00FA1A52" w:rsidRDefault="00FA1A52" w:rsidRPr="000C4EFB">
            <w:pPr>
              <w:pStyle w:val="BodyTextIndent2"/>
              <w:spacing w:after="40" w:before="40" w:line="200" w:lineRule="exact"/>
              <w:ind w:firstLine="720"/>
              <w:jc w:val="both"/>
              <w:rPr>
                <w:rFonts w:ascii="Arial" w:hAnsi="Arial"/>
                <w:sz w:val="18"/>
                <w:szCs w:val="18"/>
              </w:rPr>
            </w:pPr>
          </w:p>
        </w:tc>
        <w:tc>
          <w:tcPr>
            <w:tcW w:type="dxa" w:w="4689"/>
            <w:tcBorders>
              <w:bottom w:color="auto" w:space="0" w:sz="4" w:val="single"/>
            </w:tcBorders>
          </w:tcPr>
          <w:p w:rsidP="00FC75E1" w:rsidR="00FA1A52" w:rsidRDefault="00FA1A52" w:rsidRPr="000C4EFB">
            <w:pPr>
              <w:pStyle w:val="BodyTextIndent2"/>
              <w:spacing w:after="40" w:before="40" w:line="200" w:lineRule="exact"/>
              <w:ind w:firstLine="0"/>
              <w:jc w:val="both"/>
              <w:rPr>
                <w:rFonts w:ascii="Arial" w:hAnsi="Arial"/>
                <w:sz w:val="18"/>
                <w:szCs w:val="18"/>
              </w:rPr>
            </w:pPr>
            <w:r w:rsidRPr="000C4EFB">
              <w:rPr>
                <w:rFonts w:ascii="Arial" w:hAnsi="Arial"/>
                <w:sz w:val="18"/>
                <w:szCs w:val="18"/>
              </w:rPr>
              <w:t>Detailed Cost Estimate</w:t>
            </w:r>
          </w:p>
        </w:tc>
      </w:tr>
    </w:tbl>
    <w:p>
      <w:r>
        <w:t>
</w:t>
        <w:t>
</w:t>
      </w: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
        <w:jc w:val="both"/>
      </w:pPr>
    </w:p>
    <w:p>
      <w:pPr>
        <w:pStyle w:val="BodyTextIndent2"/>
        <w:jc w:val="both"/>
      </w:pPr>
    </w:p>
    <w:p>
      <w:pPr>
        <w:pStyle w:val=""/>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p>
    <w:p>
      <w:pPr>
        <w:pStyle w:val="BodyTextIndent2"/>
        <w:jc w:val="both"/>
      </w:pPr>
      <w:r>
        <w:rPr>
          <w:rFonts w:ascii="" w:hAnsi="" w:cs="" w:eastAsia=""/>
          <w:b w:val="false"/>
          <w:i w:val="false"/>
          <w:strike w:val="false"/>
          <w:color w:val=""/>
          <w:sz w:val="22"/>
        </w:rPr>
        <w:t/>
      </w:r>
    </w:p>
    <w:p>
      <w:pPr>
        <w:pStyle w:val=""/>
        <w:jc w:val="both"/>
      </w:pPr>
      <w:r>
        <w:rPr>
          <w:rFonts w:ascii="Times New Roman" w:hAnsi="Times New Roman" w:cs="Times New Roman" w:eastAsia="Times New Roman"/>
          <w:b w:val="false"/>
          <w:i w:val="false"/>
          <w:strike w:val="false"/>
          <w:color w:val=""/>
          <w:sz w:val="22"/>
        </w:rPr>
        <w:t xml:space="preserve">Research on disaster recovery has reported that some victims believe there is favoritism toward business interests at the expense of households. Similar concerns have arisen in other disasters where historic preservation, neighborhood, and ethnic organizations mobilized public demonstrations, pressured administrators in hearings, and filed lawsuits (Bolin, 1993). These organizations can slow recovery and make it more expensive (Bolin, 1993) unless there is a transparent process as well as clear and consistent answers to questions such as “Who is eligible for assistance?” and “How will land use change in the impact area and how will this affect adjacent areas?” </w:t>
      </w:r>
    </w:p>
    <w:p>
      <w:pPr>
        <w:pStyle w:val="BodyTextIndent2"/>
        <w:jc w:val="both"/>
      </w:pPr>
      <w:r>
        <w:rPr>
          <w:rFonts w:ascii="" w:hAnsi="" w:cs="" w:eastAsia=""/>
          <w:b w:val="false"/>
          <w:i w:val="true"/>
          <w:strike w:val="false"/>
          <w:color w:val=""/>
          <w:sz w:val="22"/>
        </w:rPr>
        <w:t>Recovery legal authority and financing</w:t>
      </w:r>
      <w:r>
        <w:rPr>
          <w:rFonts w:ascii="" w:hAnsi="" w:cs="" w:eastAsia=""/>
          <w:b w:val="false"/>
          <w:i w:val="false"/>
          <w:strike w:val="false"/>
          <w:color w:val=""/>
          <w:sz w:val="22"/>
        </w:rPr>
        <w:t xml:space="preserve">. The Recovery/Mitigation Committee needs to obtain legal authority for a wide range of short term recovery actions including a development moratorium, temporary repair permits, demolition regulations, and zoning for temporary housing (Schwab, et al., 1998). They also need to explore the feasibility of an </w:t>
      </w:r>
      <w:r>
        <w:rPr>
          <w:rFonts w:ascii="" w:hAnsi="" w:cs="" w:eastAsia=""/>
          <w:b w:val="false"/>
          <w:i w:val="true"/>
          <w:strike w:val="false"/>
          <w:color w:val=""/>
          <w:sz w:val="22"/>
        </w:rPr>
        <w:t>adequate public facility ordinance</w:t>
      </w:r>
      <w:r>
        <w:rPr>
          <w:rFonts w:ascii="" w:hAnsi="" w:cs="" w:eastAsia=""/>
          <w:b w:val="false"/>
          <w:i w:val="false"/>
          <w:strike w:val="false"/>
          <w:color w:val=""/>
          <w:sz w:val="22"/>
        </w:rPr>
        <w:t xml:space="preserve"> requiring developers to pay for extending infrastructure to locations where it does not already exist, </w:t>
      </w:r>
      <w:r>
        <w:rPr>
          <w:rFonts w:ascii="" w:hAnsi="" w:cs="" w:eastAsia=""/>
          <w:b w:val="false"/>
          <w:i w:val="true"/>
          <w:strike w:val="false"/>
          <w:color w:val=""/>
          <w:sz w:val="22"/>
        </w:rPr>
        <w:t>increased participation in the National Flood Insurance Program</w:t>
      </w:r>
      <w:r>
        <w:rPr>
          <w:rFonts w:ascii="" w:hAnsi="" w:cs="" w:eastAsia=""/>
          <w:b w:val="false"/>
          <w:i w:val="false"/>
          <w:strike w:val="false"/>
          <w:color w:val=""/>
          <w:sz w:val="22"/>
        </w:rPr>
        <w:t xml:space="preserve">, and revising </w:t>
      </w:r>
      <w:r>
        <w:rPr>
          <w:rFonts w:ascii="" w:hAnsi="" w:cs="" w:eastAsia=""/>
          <w:b w:val="false"/>
          <w:i w:val="true"/>
          <w:strike w:val="false"/>
          <w:color w:val=""/>
          <w:sz w:val="22"/>
        </w:rPr>
        <w:t>annexation procedures</w:t>
      </w:r>
      <w:r>
        <w:rPr>
          <w:rFonts w:ascii="" w:hAnsi="" w:cs="" w:eastAsia=""/>
          <w:b w:val="false"/>
          <w:i w:val="false"/>
          <w:strike w:val="false"/>
          <w:color w:val=""/>
          <w:sz w:val="22"/>
        </w:rPr>
        <w:t xml:space="preserve"> for incorporating additional land. In addition, the Recovery/Mitigation Committee should examine the adequacy of existing zoning tools including </w:t>
      </w:r>
      <w:r>
        <w:rPr>
          <w:rFonts w:ascii="" w:hAnsi="" w:cs="" w:eastAsia=""/>
          <w:b w:val="false"/>
          <w:i w:val="true"/>
          <w:strike w:val="false"/>
          <w:color w:val=""/>
          <w:sz w:val="22"/>
        </w:rPr>
        <w:t>development density controls</w:t>
      </w:r>
      <w:r>
        <w:rPr>
          <w:rFonts w:ascii="" w:hAnsi="" w:cs="" w:eastAsia=""/>
          <w:b w:val="false"/>
          <w:i w:val="false"/>
          <w:strike w:val="false"/>
          <w:color w:val=""/>
          <w:sz w:val="22"/>
        </w:rPr>
        <w:t xml:space="preserve"> that limit the number of lots per acre of developed land, </w:t>
      </w:r>
      <w:r>
        <w:rPr>
          <w:rFonts w:ascii="" w:hAnsi="" w:cs="" w:eastAsia=""/>
          <w:b w:val="false"/>
          <w:i w:val="true"/>
          <w:strike w:val="false"/>
          <w:color w:val=""/>
          <w:sz w:val="22"/>
        </w:rPr>
        <w:t>overlay districts</w:t>
      </w:r>
      <w:r>
        <w:rPr>
          <w:rFonts w:ascii="" w:hAnsi="" w:cs="" w:eastAsia=""/>
          <w:b w:val="false"/>
          <w:i w:val="false"/>
          <w:strike w:val="false"/>
          <w:color w:val=""/>
          <w:sz w:val="22"/>
        </w:rPr>
        <w:t xml:space="preserve"> that add special restrictions to the customary limitations of type (residential, commercial, and industrial) of construction, and </w:t>
      </w:r>
      <w:r>
        <w:rPr>
          <w:rFonts w:ascii="" w:hAnsi="" w:cs="" w:eastAsia=""/>
          <w:b w:val="false"/>
          <w:i w:val="true"/>
          <w:strike w:val="false"/>
          <w:color w:val=""/>
          <w:sz w:val="22"/>
        </w:rPr>
        <w:t>setback requirements</w:t>
      </w:r>
      <w:r>
        <w:rPr>
          <w:rFonts w:ascii="" w:hAnsi="" w:cs="" w:eastAsia=""/>
          <w:b w:val="false"/>
          <w:i w:val="false"/>
          <w:strike w:val="false"/>
          <w:color w:val=""/>
          <w:sz w:val="22"/>
        </w:rPr>
        <w:t xml:space="preserve"> for minimum distances from hazardous terrain or landscape features. In addition to ensuing adequate legal authority, the Recovery/Mitigation Committee must identify financial tools for achieving mitigation objectives. Financing can be obtained by </w:t>
      </w:r>
      <w:r>
        <w:rPr>
          <w:rFonts w:ascii="" w:hAnsi="" w:cs="" w:eastAsia=""/>
          <w:b w:val="false"/>
          <w:i w:val="true"/>
          <w:strike w:val="false"/>
          <w:color w:val=""/>
          <w:sz w:val="22"/>
        </w:rPr>
        <w:t>directing Community Development Block Grant funds</w:t>
      </w:r>
      <w:r>
        <w:rPr>
          <w:rFonts w:ascii="" w:hAnsi="" w:cs="" w:eastAsia=""/>
          <w:b w:val="false"/>
          <w:i w:val="false"/>
          <w:strike w:val="false"/>
          <w:color w:val=""/>
          <w:sz w:val="22"/>
        </w:rPr>
        <w:t xml:space="preserve"> to mitigation activities, </w:t>
      </w:r>
      <w:r>
        <w:rPr>
          <w:rFonts w:ascii="" w:hAnsi="" w:cs="" w:eastAsia=""/>
          <w:b w:val="false"/>
          <w:i w:val="true"/>
          <w:strike w:val="false"/>
          <w:color w:val=""/>
          <w:sz w:val="22"/>
        </w:rPr>
        <w:t>establishing special assessment districts</w:t>
      </w:r>
      <w:r>
        <w:rPr>
          <w:rFonts w:ascii="" w:hAnsi="" w:cs="" w:eastAsia=""/>
          <w:b w:val="false"/>
          <w:i w:val="false"/>
          <w:strike w:val="false"/>
          <w:color w:val=""/>
          <w:sz w:val="22"/>
        </w:rPr>
        <w:t xml:space="preserve">, and </w:t>
      </w:r>
      <w:r>
        <w:rPr>
          <w:rFonts w:ascii="" w:hAnsi="" w:cs="" w:eastAsia=""/>
          <w:b w:val="false"/>
          <w:i w:val="true"/>
          <w:strike w:val="false"/>
          <w:color w:val=""/>
          <w:sz w:val="22"/>
        </w:rPr>
        <w:t>charging impact fees</w:t>
      </w:r>
      <w:r>
        <w:rPr>
          <w:rFonts w:ascii="" w:hAnsi="" w:cs="" w:eastAsia=""/>
          <w:b w:val="false"/>
          <w:i w:val="false"/>
          <w:strike w:val="false"/>
          <w:color w:val=""/>
          <w:sz w:val="22"/>
        </w:rPr>
        <w:t xml:space="preserve"> for new development— especially when it is in a hazard prone area. </w:t>
      </w:r>
    </w:p>
    <w:p>
      <w:pPr>
        <w:pStyle w:val="BodyTextIndent2"/>
        <w:jc w:val="both"/>
      </w:pPr>
      <w:r>
        <w:rPr>
          <w:rFonts w:ascii="" w:hAnsi="" w:cs="" w:eastAsia=""/>
          <w:b w:val="false"/>
          <w:i w:val="true"/>
          <w:strike w:val="false"/>
          <w:color w:val=""/>
          <w:sz w:val="22"/>
        </w:rPr>
        <w:t>Administrative and logistical support</w:t>
      </w:r>
      <w:r>
        <w:rPr>
          <w:rFonts w:ascii="" w:hAnsi="" w:cs="" w:eastAsia=""/>
          <w:b w:val="false"/>
          <w:i w:val="false"/>
          <w:strike w:val="false"/>
          <w:color w:val=""/>
          <w:sz w:val="22"/>
        </w:rPr>
        <w:t xml:space="preserve">. During the recovery period, the pace of operations decreases so the management of specific emergency response and recovery functions does not need to be focused at incident scenes or centralized in the EOC. Thus, the activities performed by the Planning, Logistics, and Administration Sections within the IMS are gradually dispersed back to the jurisdiction’s normal departments listed in Figure 11-2. Nonetheless, special provisions are required to support the additional staff generated by obtaining mutual aid personnel from other jurisdictions and volunteer personnel such as architects and engineers used as building inspectors. Moreover, records accumulated by the Finance Section must be available to provide a justification for expenditures on disaster recovery and hazard mitigation that are reimbursable by state and federal agencies. </w:t>
      </w:r>
    </w:p>
    <w:p>
      <w:pPr>
        <w:pStyle w:val="BodyTextIndent2"/>
        <w:jc w:val="both"/>
      </w:pPr>
      <w:r>
        <w:rPr>
          <w:rFonts w:ascii="" w:hAnsi="" w:cs="" w:eastAsia=""/>
          <w:b w:val="false"/>
          <w:i w:val="true"/>
          <w:strike w:val="false"/>
          <w:color w:val=""/>
          <w:sz w:val="22"/>
        </w:rPr>
        <w:t>Documentation</w:t>
      </w:r>
      <w:r>
        <w:rPr>
          <w:rFonts w:ascii="" w:hAnsi="" w:cs="" w:eastAsia=""/>
          <w:b w:val="false"/>
          <w:i w:val="false"/>
          <w:strike w:val="false"/>
          <w:color w:val=""/>
          <w:sz w:val="22"/>
        </w:rPr>
        <w:t>. As is the case in the emergency response, documentation is needed during disaster recovery to provide the basis for organizational learning. Maintaining an event log of who took what actions in response to what conditions will provide the Recovery/ Mitigation Committee with the information it needs to produce the “Lessons Learned” document and, later, to revise the ROP. In addition, detailed documentation provides the jurisdiction’s legal counsel with the information that might be needed to defend against any lawsuits.</w:t>
      </w:r>
    </w:p>
    <w:p>
      <w:pPr>
        <w:pStyle w:val=""/>
        <w:jc w:val="both"/>
      </w:pPr>
      <w:r>
        <w:rPr>
          <w:rFonts w:ascii="Times New Roman" w:hAnsi="Times New Roman" w:cs="Times New Roman" w:eastAsia="Times New Roman"/>
          <w:b w:val="true"/>
          <w:i w:val="false"/>
          <w:strike w:val="false"/>
          <w:color w:val=""/>
          <w:sz w:val="22"/>
        </w:rPr>
        <w:t xml:space="preserve">Case Study: Disaster Recovery in </w:t>
      </w:r>
      <w:r>
        <w:rPr>
          <w:rFonts w:ascii="Times New Roman" w:hAnsi="Times New Roman" w:cs="Times New Roman" w:eastAsia="Times New Roman"/>
          <w:b w:val="true"/>
          <w:i w:val="false"/>
          <w:strike w:val="false"/>
          <w:color w:val=""/>
          <w:sz w:val="22"/>
        </w:rPr>
        <w:t>Wichita Falls</w:t>
      </w:r>
    </w:p>
    <w:p>
      <w:pPr>
        <w:pStyle w:val=""/>
        <w:jc w:val="both"/>
      </w:pPr>
      <w:r>
        <w:rPr>
          <w:rFonts w:ascii="Times New Roman" w:hAnsi="Times New Roman" w:cs="Times New Roman" w:eastAsia="Times New Roman"/>
          <w:b w:val="false"/>
          <w:i w:val="false"/>
          <w:strike w:val="false"/>
          <w:color w:val=""/>
          <w:sz w:val="22"/>
        </w:rPr>
        <w:t xml:space="preserve">An F-4 tornado struck Wichita Falls on April 10, 1979 that killed 46 people and injured another 3245 (Bolin, 1982). The tornado also destroyed 2500 homes, seriously damaged 879, and slightly damaged 1659. In addition, it destroyed 1274 apartment units, 85 mobile homes, and 81 businesses. In the aftermath of the storm, nearly one fifth of the city’s population of 100,000 was homeless. Temporary housing began to be delivered after four days, telephone service was restored after nine days, and debris clearance from </w:t>
      </w:r>
      <w:r>
        <w:rPr>
          <w:rFonts w:ascii="Times New Roman" w:hAnsi="Times New Roman" w:cs="Times New Roman" w:eastAsia="Times New Roman"/>
          <w:b w:val="false"/>
          <w:i w:val="false"/>
          <w:strike w:val="false"/>
          <w:color w:val=""/>
          <w:sz w:val="22"/>
        </w:rPr>
        <w:t xml:space="preserve">private lots had begun within two weeks. Although the EOC was deactivated five days after the storm, the emergency declaration was not lifted for a month. By that time, basic services (water, sewer, electric power, fuel, telecommunications, and transportation) were restored. Debris clearance was delayed by the need to obtain permission from property owners who were, understandably, not readily accessible due to relocation elsewhere. Nearly 50% of </w:t>
      </w:r>
      <w:r>
        <w:rPr>
          <w:rFonts w:ascii="Times New Roman" w:hAnsi="Times New Roman" w:cs="Times New Roman" w:eastAsia="Times New Roman"/>
          <w:b w:val="false"/>
          <w:i w:val="false"/>
          <w:strike w:val="false"/>
          <w:color w:val=""/>
          <w:sz w:val="22"/>
        </w:rPr>
        <w:t>all</w:t>
      </w:r>
      <w:r>
        <w:rPr>
          <w:rFonts w:ascii="Times New Roman" w:hAnsi="Times New Roman" w:cs="Times New Roman" w:eastAsia="Times New Roman"/>
          <w:b w:val="false"/>
          <w:i w:val="false"/>
          <w:strike w:val="false"/>
          <w:color w:val=""/>
          <w:sz w:val="22"/>
        </w:rPr>
        <w:t xml:space="preserve"> homeless families had temporary housing within 45 days after the storm and almost all had temporary housing within 90 days. Most major commercial businesses had resumed operations within 120 days. Housing reconstruction was delayed by Small Business Administration funding problems, some victims’ lack of insurance and inability to qualify for federal aid, and the scarcity of building contractors and building materials. Nearly 90% of the lost housing had been rebuilt by the end of two years, but there were problems in the interim. First, the influx of construction workers increased pressure on the tight housing market. Second, reconstruction in lower socioeconomic neighborhoods was only 30% at 18 months when reconstruction in higher socioeconomic neighborhoods </w:t>
      </w:r>
      <w:r>
        <w:rPr>
          <w:rFonts w:ascii="Times New Roman" w:hAnsi="Times New Roman" w:cs="Times New Roman" w:eastAsia="Times New Roman"/>
          <w:b w:val="false"/>
          <w:i w:val="false"/>
          <w:strike w:val="false"/>
          <w:color w:val=""/>
          <w:sz w:val="22"/>
        </w:rPr>
        <w:t>reached</w:t>
      </w:r>
      <w:r>
        <w:rPr>
          <w:rFonts w:ascii="Times New Roman" w:hAnsi="Times New Roman" w:cs="Times New Roman" w:eastAsia="Times New Roman"/>
          <w:b w:val="false"/>
          <w:i w:val="false"/>
          <w:strike w:val="false"/>
          <w:color w:val=""/>
          <w:sz w:val="22"/>
        </w:rPr>
        <w:t xml:space="preserve"> 80%. The community faced a number of foreseeable recovery issues for which it was unprepared. First, the city council reversed itself twice on the issue of siting mobile homes on lots where owners were attempting to rebuild. Second, the council imposed rent and price controls, but these only delayed increases that skyrocketed as soon as they were terminated. Third, the city incurred substantial costs for rebuilding infrastructure at a time when its revenues were down because of the losses in the property tax base.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2018-05-14T17:52:36Z</dcterms:created>
  <dc:creator>Apache POI</dc:creator>
</cp:coreProperties>
</file>