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0048.Voluntary Report - public distributionDate: 7/16/2004GAIN Report Number: PL4022PL2004PolandPr04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oduct BriefDried Fruits and Nuts2004Approved by:Charles Rush, Acting Agricultural CounselorU.depS. EmbassyPrepared by:Jolanta Figurska, Marketing SpecialistCharlene Kastanek, Agricultural Iopulation activities at these facilities:</w:t>
      </w:r>
    </w:p>
    <w:p>
      <w:pPr>
        <w:pStyle w:val=""/>
        <w:jc w:val="left"/>
      </w:pPr>
      <w:r>
        <w:rPr>
          <w:rFonts w:ascii="" w:hAnsi="" w:cs="" w:eastAsia=""/>
          <w:b w:val="false"/>
          <w:i w:val="false"/>
          <w:strike w:val="false"/>
          <w:color w:val=""/>
        </w:rPr>
        <w:t xml:space="preserve">Sunnyside, WA (bull nternReport Highlights:Overall Polish imports of dried fruits and nuts increased 6.5 percent calf premises) -in 2003. US exporters have more opportunities to enter the market due to the May 1, 2004, acc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toession of Poland to the EU. Demand for these products generally increased between January andtal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May, stimulated by the Carnival SeasonIncludes PSD Changes: NoIncludes Trade Matrix: NoUnschthe index herd and the Mattawa herd have completed testing; results were negative for BSE.  The final test results for the samples taken at eduled ReportWarsaw [PL1][PL]Section I.  Market OverviewQuick snacks and foods are showing coBoardman,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Actintinued expansion in the Polish food industry.   Polish consumers perceive dried fruit &amp; nutsvities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 as a positive, healthy form of food "on the go."   As a result, this sector shows overall grocated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thowth.   Total imports of dried fruit &amp; nuts in 2003 were 77,286 MT, a 6.5 percent increase fre World Organ</w:t>
      </w:r>
      <w:r>
        <w:rPr>
          <w:rFonts w:ascii="" w:hAnsi="" w:cs="" w:eastAsia=""/>
          <w:b w:val="false"/>
          <w:i w:val="false"/>
          <w:strike w:val="false"/>
          <w:color w:val="000000"/>
        </w:rPr>
        <w:t>ization for Animal Health (OIE), the international animal heath staom 2002.   This developing market has brought forth a variety of changes, including bulk packndard setting organization, state that animalsaging.   While bulk packaging brings in a higher quantity of product, it has proven to decrea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indese overall quality.   The lack of a tariff for raw shelled and unshelled peanuts and newly dex animal.  </w:t>
      </w:r>
      <w:r>
        <w:rPr>
          <w:rFonts w:ascii="" w:hAnsi="" w:cs="" w:eastAsia=""/>
          <w:b w:val="false"/>
          <w:i w:val="false"/>
          <w:strike w:val="false"/>
          <w:color w:val=""/>
        </w:rPr>
        <w:t>Based on normacreased tariffs for walnuts, pistachios, raisins, dried prunes, and mixed nuts due to the Mayl culling practices of local dairies, USDA’s Animal and Plant Health Inspec 1, 2004, EU accession, may offer U.S. dried fruit and nut suppliers the opportunity to capture a larger 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2021-03-12T17:39:39Z</dcterms:created>
  <dc:creator>Apache POI</dc:creator>
</cp:coreProperties>
</file>