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depopulation activities at these facilities:</w:t>
      </w:r>
    </w:p>
    <w:p>
      <w:pPr>
        <w:pStyle w:val=""/>
        <w:jc w:val="left"/>
      </w:pPr>
      <w:r>
        <w:rPr>
          <w:rFonts w:ascii="" w:hAnsi="" w:cs="" w:eastAsia=""/>
          <w:b w:val="false"/>
          <w:i w:val="false"/>
          <w:strike w:val="false"/>
          <w:color w:val=""/>
        </w:rPr>
        <w:t xml:space="preserve">Sunnyside, WA (bull calf premises) -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18 animals depopulated</w:t>
      </w:r>
    </w:p>
    <w:p>
      <w:pPr>
        <w:pStyle w:val=""/>
        <w:jc w:val="left"/>
      </w:pPr>
      <w:r>
        <w:rPr>
          <w:rFonts w:ascii="" w:hAnsi="" w:cs="" w:eastAsia=""/>
          <w:b w:val="false"/>
          <w:i w:val="false"/>
          <w:strike w:val="false"/>
          <w:color w:val="000000"/>
        </w:rPr>
        <w:t>Tenino, WA – a total of 4 animals depopulated</w:t>
      </w:r>
    </w:p>
    <w:p>
      <w:pPr>
        <w:pStyle w:val=""/>
        <w:jc w:val="left"/>
      </w:pPr>
      <w:r>
        <w:rPr>
          <w:rFonts w:ascii="" w:hAnsi="" w:cs="" w:eastAsia=""/>
          <w:b w:val="false"/>
          <w:i w:val="false"/>
          <w:strike w:val="false"/>
          <w:color w:val="000000"/>
        </w:rPr>
        <w:t xml:space="preserve">Samples taken from the 15 animals depopulated in Conn2003.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continueell, WA have tested negative.  All 170 samples from the index herd and the Mattawa herd have completed testing; results were negative for BSE.  The final test results for the samples taken at 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tivities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the World Organ</w:t>
      </w:r>
      <w:r>
        <w:rPr>
          <w:rFonts w:ascii="" w:hAnsi="" w:cs="" w:eastAsia=""/>
          <w:b w:val="false"/>
          <w:i w:val="false"/>
          <w:strike w:val="false"/>
          <w:color w:val="000000"/>
        </w:rPr>
        <w:t>ization for Animal Health (OIE), the international animal heath standard setting organization, state that animals born on a premises within one year (before or after) of a BSE-affected animal can be considered of significant interestWhile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and nut suppliers the opportunity to capture a larger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index animal.  </w:t>
      </w:r>
      <w:r>
        <w:rPr>
          <w:rFonts w:ascii="" w:hAnsi="" w:cs="" w:eastAsia=""/>
          <w:b w:val="false"/>
          <w:i w:val="false"/>
          <w:strike w:val="false"/>
          <w:color w:val=""/>
        </w:rPr>
        <w:t>Based on normal culling practices of local dairies, USDA’s Animal and Plant Health Inspection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