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Voluntary Report - public distributionDate: 7/16/2004GAIN Report Number: PL4022PL2004PolandProduct BriefDried Fruits and Nuts2004Approved by:Charles Rush, Acting Agricultural CounselorU.SOffice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 EmbassyPrepared by:Jolanta Figurska, Marketing SpecialistCharlene Kastanek, Agricultural InternReport Highlights:Overall Polish imports of dried fruits and nuts increased 6.5 percent inon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 2003. US exporters have more opportunities to enter the market due to the May 1, 2004, accession of Poland to the EU. Demand for these products generally increased between January and Mas depopulated in Connell, WA have tested negative.  All 170 samples from the index herd and the Mattawa herd havey, stimulated by the Carnival SeasonIncludes PSD Changes: NoIncludes Trade Matrix: NoUnscheduled ReportWarsaw [PL1][PL]Section I.  Market OverviewQuick snacks and foods are showing contin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availableued expansion in the Polish food industry.   Polish consumers perceive dried fruit &amp; nuts as a positive, healthy form of food "on the go."   As a result, this sector shows overall growth..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Total imports of dried fruit &amp; nuts in 2003 were 77,286 MT, a 6.5 percent increase from 2002.   This developing market has brought forth a variety of changes, including bulk packaging.81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While bulk packaging brings in a higher quantity of product, it has proven to decrease overall quality.   The lack of a tariff for raw shelled and unshelled peanuts and newly decreased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 tariffs for walnuts, pistachios, raisins, dried prunes, and mixed nuts due to the May 1, 2004, EU accession, may offer U.S. dried fruit and nut suppliers the opportunity to capture a larger .html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