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0048.Voluntar04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y Reportdep - publiopulation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 districalf premises) -butionDa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tote: 7/16tal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/2004GAIthe index herd and the Mattawa herd have completed testing; results were negative for BSE.  The final test results for the samples taken at N ReportBoardman,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 Number:vities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 PL4022Pocated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thL2004Pole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staandProdundard setting organization, state that animalsct Brief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indeDried Frx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normauits andl culling practices of local dairies, USDA’s Animal and Plant Health Inspec Nuts2004Approvetion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