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Voluntary Report - public distributionDate: 7/16/2004GAIN Report Numanimal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ber: PL4022PL2004PolandProduct BriefDried Fruits and Nuts2004Approvethe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