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(Volu202) 720-ntar4623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thy Reis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aportnimals depopulated - p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tubliotal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animac dils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Tenstriino,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habutive tested negative.  All 170 samples from the index herd and the Mattawa herd have completed testing; results wonDaere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ORte: ; Quincy, WA; Tenino, WA; and Moxe7/16e,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ti/200me,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located4GAI in the IndeN Rex herd in Mabton, Wportash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 Num,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faciliber:ty in Othello, Washington PL4.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internationa022Pl animal heath standard setting organization, state that animals borL200n on a premises within one ye4Polar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BandPSE detection.  As such, USDA is focurodusing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ct Bon normal culling practices of local dairies, USDA’s Animal and Planrieft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pDrie://www.aphis.usda.gov/lpa/issues/bse/bse_trade_d Frban_status.html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uitsBSE can be obtained by visit anding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 Nut/www.usda.gov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s2004Approve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