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0048.Voluntary Report - public 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distributionDate: 7/16/200dep4GAIN Report Number: PL402opulation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2PL2004PolandProduct Briefcalf premises) -Dried Fruits and Nuts2004A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topproved by:Charles Rush, Atal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cting Agricultural Counselthe index herd and the Mattawa herd have completed testing; results were negative for BSE.  The final test results for the samples taken at orU.S. EmbassyPrepared by:Boardman,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ActiJolanta Figurska, Marketinvities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lg SpecialistCharlene Kastaocated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thnek, Agricultural InternRee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staport Highlights:Overall Pondard setting organization, state that animalslish imports of dried frui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indets and nuts increased 6.5 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normapercent in 2003. US exportl culling practices of local dairies, USDA’s Animal and Plant Health Inspecers have more opportunitiestion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