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(Voluntary Rep202) 720-ort - public 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thdistributionDis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aate: 7/16/200nimals depopulated4GAIN Report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tNumber: PL402otal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anima2PL2004Polandls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TenProduct Briefino,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haDried Fruits ve tested negative.  All 170 samples from the index herd and the Mattawa herd have completed testing; results wand Nuts2004Aere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ORpproved by:Ch; Quincy, WA; Tenino, WA; and Moxearles Rush, Ae,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ticting Agriculme,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locatedtural Counsel in the IndeorU.S. Embassx herd in Mabton, WyPrepared by:ash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ConnellJolanta Figur,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faciliska, Marketinty in Othello, Washingtong SpecialistC.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internationaharlene Kastal animal heath standard setting organization, state that animals bornek, Agricultn on a premises within one yeural InternRear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Bport HighlighSE detection.  As such, USDA is focuts:Overall Posing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lish imports on normal culling practices of local dairies, USDA’s Animal and Planof dried fruit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pts and nuts i://www.aphis.usda.gov/lpa/issues/bse/bse_trade_ncreased 6.5 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percent in 20BSE can be obtained by visit03. US exporting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http:/ers have more/www.usda.gov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opportunities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