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Voluntary Report - public distributionDate: 7/16/200Office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depopulati4GAIN Report Number: PL4022PL2004PolandProduct Briefon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animalDried Fruits and Nuts2004Approved by:Charles Rush, As depopulated in Connell, WA have tested negative.  All 170 samples from the index herd and the Mattawa herd havecting Agricultural CounselorU.S. EmbassyPrepared by: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availableJolanta Figurska, Marketing SpecialistCharlene Kasta.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nek, Agricultural InternReport Highlights:Overall Po81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locatedlish imports of dried fruits and nuts increased 6.5 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p://www.aphis.usda.gov/lpa/issues/bse/bse_trade_ban_statuspercent in 2003. US exporters have more opportunities.html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