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StrategyLargs depopulated in Connell, WA have tested negative.  All 170 samples from the index herd and the Mattawa herd haveer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supermarkets and discount stores, convenience stores, traditional stores, and kiosks.  Hypermarkets have been growing in number throughout Poland and offer the largest vari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&amp;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Prod81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