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0048.Voluntary Report - public distribut04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ionDate: 7/16/2004GAIN Report Numbedepr: PL4022PL2004PolandProduct BriefDopulation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ried Fruits and Nuts2004Approved bycalf premises) -:Charles Rush, Acting Agricultural 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toCounselorU.S. EmbassyPrepared by:Jotal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lanta Figurska, Marketing Specialisthe index herd and the Mattawa herd have completed testing; results were negative for BSE.  The final test results for the samples taken at tCharlene Kastanek, Agricultural InBoardman,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ActiternReport Highlights:Overall Polisvities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lh imports of dried fruits and nuts 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thincreased 6.5 percent in 2003. US ee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staxporters have more opportunities tondard setting organization, state that animals enter the market due to the May 1,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 2004, accession of Poland to the 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normaU. Demand for these products general culling practices of local dairies, USDA’s Animal and Plant Health Inspeclly increased between January and Mation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