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copyright to the Code of Laws of South Carolina, 1976, as contained herein.  Any use of the text, section headings, orague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catchlines of the 1976 Code is subject to the terms of federal copyright and other applicable laws and such text, section headings, or catchlines may not be reproduced in whole o.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occasir in part in any form or for inclusion in any material which is offered for sale or lease without the express written permission of the Chairman of the South Carolina Legislative 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returCouncil or the Code Commissioner of South Carolina.This statutory database is current through the 2001 Regular Session and the 2001 Extra Session of the South Carolina General Assn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embly.  Changes to the statutes enacted by the 2002 General Assembly, which will convene in January 2002, will be incorporated as soon as possible.  Some changes enacted by the 20Article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02 General Assembly may take immediate effect.  The State of South Carolina and the South Carolina Legislative Council make no warranty as to the accuracy of the data, and users rthe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pely on the data entirely at their own risk.The Legislative Council by law is charged with compiling and publishing the 1976 Code and it is maintained in a database which may be acrior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idcessed for commercial purposes by contacting the Legislative Council or the office of Legislative Printing, Information and Technology Systems.CHAPTER 15. DWELLINGS UNFIT FOR HUMA.</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disN HABITATIONARTICLE 1. IN MUNICIPALITIES OF OVER 1,000SECTION 311510. Definitions. The following terms whenever used or referred to in this article shall have the following respectinct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promptly,tive meanings for the purposes of this article, unless a different meaning clearly appears from the context: (1) “Municipality” shall mean any city or town regardless of populatio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n; (2) “Governing body” shall mean the council or other legislative body charged with governing a municipality; (3) “Public officer” shall mean the officer or officers who are autbeing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Bhorized by ordinances adopted hereunder to exercise the powers prescribed by such ordinances and by this article; (4) “Public authority” shall mean any housing authority or any oflondin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abusficer who is in charge of any department or branch of the government of the municipality or State relating to health, fire or building regulations or to other activities concerninive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Marieg dwellings in the municipality; (5) “Owner” shall mean the holder of the title in fee simple and every mortgagee of record; (6) “Parties in interest” shall mean all individuals, -Eline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andaassociations, corporations and others who have interests of record in a dwelling and any who are in possession thereof;  and (7) “Dwelling” shall mean any building or structure, ord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[I]r part thereof, used and occupied for human habitation or intended to be so used and includes any outhouses and appurtenances belonging thereto or usually enjoyed therewith. SECTIn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