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lessCopyright and DisclaimerThe State of South Carolina owns the copyright to the Code of Law weight.  </w:t>
      </w:r>
      <w:r>
        <w:rPr>
          <w:rFonts w:ascii="" w:hAnsi="" w:cs="" w:eastAsia=""/>
          <w:b w:val="false"/>
          <w:i w:val="false"/>
          <w:strike w:val="false"/>
          <w:color w:val=""/>
        </w:rPr>
        <w:t>Blondins of South Carolina, 1976, as contained herein.  Any use of the text, section headings, o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ir catchlines of the 1976 Code is subject to the terms of federal copyright and other appls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Ticable laws and such text, section headings, or catchlines may not be reproduced in wholehe Hague Convention</w:t>
      </w:r>
    </w:p>
    <w:p>
      <w:pPr>
        <w:pStyle w:val=""/>
        <w:jc w:val="left"/>
      </w:pPr>
      <w:r>
        <w:rPr>
          <w:rFonts w:ascii="" w:hAnsi="" w:cs="" w:eastAsia=""/>
          <w:b w:val="false"/>
          <w:i w:val="false"/>
          <w:strike w:val="false"/>
          <w:color w:val=""/>
        </w:rPr>
        <w:t>The Hague Convention was adopted to deter parents from abducting c or in part in any form or for inclusion in any material which is offered for sale or leahi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Convention.se without the express written permission of the Chairman of the South Carolina Legislati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have Council or the Code Commissioner of South Carolina.This statutory database is current 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U.S.C.through the 2001 Regular Session and the 2001 Extra Session of the South Carolina General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 Assembly.  Changes to the statutes enacted by the 2002 General Assembly, which will convptions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retuene in January 2002, will be incorporated as soon as possible.  Some changes enacted by trn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Fahe 2002 General Assembly may take immediate effect.  The State of South Carolina and the 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ConSouth Carolina Legislative Council make no warranty as to the accuracy of the data, and uvention's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reasers rely on the data entirely at their own risk.The Legislative Council by law is chargesonable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rightd with compiling and publishing the 1976 Code and it is maintained in a database which ma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Idy be accessed for commercial purposes by contacting the Legislative Council or the office.</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 of Legislative Printing, Information and Technology Systems.CHAPTER 15. DWELLINGS UNFIT 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psychologicaFOR HUMAN HABITATIONARTICLE 1. IN MUNICIPALITIES OF OVER 1,000SECTION 311510. Definitionsl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 The following terms whenever used or referred to in this article shall have the followif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addng respective meanings for the purposes of this article, unless a different meaning clearitional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chily appears from the context: (1) “Municipality” shall mean any city or town regardless ofld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 population; (2) “Governing body” shall mean the council or other legislative body chargers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addd with governing a municipality; (3) “Public officer” shall mean the officer or officers 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returwho are authorized by ordinances adopted hereunder to exercise the powers prescribed by sn,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ofuch ordinances and by this article; (4) “Public authority” shall mean any housing authori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distrty or any officer who is in charge of any department or branch of the government of the mict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“objection”unicipality or State relating to health, fire or building regulations or to other activit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ies concerning dwellings in the municipality; (5) “Owner” shall mean the holder of the tito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testifyintle in fee simple and every mortgagee of record; (6) “Parties in interest” shall mean allg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 individuals, associations, corporations and others who have interests of record in a dwetified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N.Y.S.2lling and any who are in possession thereof;  and (7) “Dwelling” shall mean any building 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psychiatrior structure, or part thereof, used and occupied for human habitation or intended to be sst readily admitted that some of Marie-Eline’s “spontaneous” expressions of abuse, such as a fear of her father stran</w:t>
      </w:r>
      <w:r>
        <w:rPr>
          <w:rFonts w:ascii="" w:hAnsi="" w:cs="" w:eastAsia=""/>
          <w:b w:val="false"/>
          <w:i w:val="false"/>
          <w:strike w:val="false"/>
          <w:color w:val=""/>
        </w:rPr>
        <w:t xml:space="preserve">glino used and includes any outhouses and appurtenances belonging thereto or usually enjoyed therewith. SECTIg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