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 weight.  </w:t>
      </w:r>
      <w:r>
        <w:rPr>
          <w:rFonts w:ascii="" w:hAnsi="" w:cs="" w:eastAsia=""/>
          <w:b w:val="false"/>
          <w:i w:val="false"/>
          <w:strike w:val="false"/>
          <w:color w:val=""/>
        </w:rPr>
        <w:t>Blondint and Di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isclaimers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TThe Stathe Hague Convention</w:t>
      </w:r>
    </w:p>
    <w:p>
      <w:pPr>
        <w:pStyle w:val=""/>
        <w:jc w:val="left"/>
      </w:pPr>
      <w:r>
        <w:rPr>
          <w:rFonts w:ascii="" w:hAnsi="" w:cs="" w:eastAsia=""/>
          <w:b w:val="false"/>
          <w:i w:val="false"/>
          <w:strike w:val="false"/>
          <w:color w:val=""/>
        </w:rPr>
        <w:t>The Hague Convention was adopted to deter parents from abducting ce of Souhi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Convention.th Carol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haina ownsbitual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the cop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exceyright tptions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retuo the Corn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Fade of Lacts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Conws of Sovention's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reauth Carosonable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rightlina, 19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Id76, as c.</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Frontainedench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herein.l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Any usf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adde of theitional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 text, sld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ordeection hrs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addeadings,ressed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 or catcn,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ofhlines 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distrf the 19ict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“objection”76 Code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is subjeto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testifyinct to thg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tese terms 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N.Y.S.2of federd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psychiatrial copyrst readily admitted that some of Marie-Eline’s “spontaneous” expressions of abuse, such as a fear of her father stran</w:t>
      </w:r>
      <w:r>
        <w:rPr>
          <w:rFonts w:ascii="" w:hAnsi="" w:cs="" w:eastAsia=""/>
          <w:b w:val="false"/>
          <w:i w:val="false"/>
          <w:strike w:val="false"/>
          <w:color w:val=""/>
        </w:rPr>
        <w:t xml:space="preserve">glinight and othg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