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lessCopyright and DisclaimerThe State of South Carolina owns the copyright to the Code of Laws of South Carolina, 1976, as contained herein.  Any use of the text, section headings, or catchlines of the 197 weight.  </w:t>
      </w:r>
      <w:r>
        <w:rPr>
          <w:rFonts w:ascii="" w:hAnsi="" w:cs="" w:eastAsia=""/>
          <w:b w:val="false"/>
          <w:i w:val="false"/>
          <w:strike w:val="false"/>
          <w:color w:val=""/>
        </w:rPr>
        <w:t>Blondin6 Code is subject to the terms of federal copyright and other applicable laws and such text, section headings, or catchlines may not be reproduced in whole or in part in any form or for inclusion in an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iy material which is offered for sale or lease without the express written permission of the Chairman of the South Carolina Legislative Council or the Code Commissioner of South Carolina.This statutory 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Tdatabase is current through the 2001 Regular Session and the 2001 Extra Session of the South Carolina General Assembly.  Changes to the statutes enacted by the 2002 General Assembly, which will convenehe Hague Convention</w:t>
      </w:r>
    </w:p>
    <w:p>
      <w:pPr>
        <w:pStyle w:val=""/>
        <w:jc w:val="left"/>
      </w:pPr>
      <w:r>
        <w:rPr>
          <w:rFonts w:ascii="" w:hAnsi="" w:cs="" w:eastAsia=""/>
          <w:b w:val="false"/>
          <w:i w:val="false"/>
          <w:strike w:val="false"/>
          <w:color w:val=""/>
        </w:rPr>
        <w:t>The Hague Convention was adopted to deter parents from abducting c in January 2002, will be incorporated as soon as possible.  Some changes enacted by the 2002 General Assembly may take immediate effect.  The State of South Carolina and the South Carolina Legislativehi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Council make no warranty as to the accuracy of the data, and users rely on the data entirely at their own risk.The Legislative Council by law is charged with compiling and publishing the 1976 Code and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 it is maintained in a database which may be accessed for commercial purposes by contacting the Legislative Council or the office of Legislative Printing, Information and Technology Systems.CHAPTER 15.bitual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DWELLINGS UNFIT FOR HUMAN HABITATIONARTICLE 1. IN MUNICIPALITIES OF OVER 1,000SECTION 311510. Definitions. The following terms whenever used or referred to in this article shall have the following res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excepective meanings for the purposes of this article, unless a different meaning clearly appears from the context: (1) “Municipality” shall mean any city or town regardless of population; (2) “Governing bptions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retuody” shall mean the council or other legislative body charged with governing a municipality; (3) “Public officer” shall mean the officer or officers who are authorized by ordinances adopted hereunder trn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Fao exercise the powers prescribed by such ordinances and by this article; (4) “Public authority” shall mean any housing authority or any officer who is in charge of any department or branch of the govercts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Connment of the municipality or State relating to health, fire or building regulations or to other activities concerning dwellings in the municipality; (5) “Owner” shall mean the holder of the title in fevention's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reae simple and every mortgagee of record; (6) “Parties in interest” shall mean all individuals, associations, corporations and others who have interests of record in a dwelling and any who are in possesssonable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rightion thereof;  and (7) “Dwelling” shall mean any building or structure, or part thereof, used and occupied for human habitation or intended to be so used and includes any outhouses and appurtenances bel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Idonging thereto or usually enjoyed therewith. SECTION 311520. Repairing, closing or demolishing unfit dwellings. Whenever any municipality of this State finds that there exist in such municipality dwell.</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Frings which are unfit for human habitation due to (a) dilapidation, (b) defects increasing the hazards of fire, accidents or other calamities, (c) lack of ventilation, light or sanitary facilities or (dench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 other conditions rendering such dwellings unsafe or insanitary, dangerous or detrimental to the health, safety or morals or otherwise inimical to the welfare of the residents of such municipality, sul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och municipality may exercise its police powers to repair, close or demolish any such dwelling in the manner herein provided. SECTION 311530. Provisions permitted to be included in ordinances relating tf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addo unfit dwellings. Upon the adoption of an ordinance finding that dwelling conditions of the character described in Section 311520 exist within a municipality, the governing body of such municipality mitional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chiay adopt ordinances relating to the dwellings within such municipality which are unfit for human habitation.  Such ordinances may include the following provisions: (1) That a public officer be designatld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ordeed or appointed to exercise the powers prescribed by the ordinances; (2) That whenever a petition is filed with the public officer by a public authority or by at least five residents of the municipalitrs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addy charging that any dwelling is unfit for human habitation or whenever it appears to the public officer (on his own motion) that any dwelling is unfit for human habitation, the public officer shall, ifressed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 his preliminary investigation discloses a basis for such charges, issue and cause to be served upon the owner of and all parties in interest in such dwelling a complaint stating the charges in that ren,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ofspect and containing a notice that a hearing will be held before the public officer or his designated agent at a place therein fixed not less than ten days nor more than thirty days after the serving o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distrf such complaint;  that the owner and parties in interest shall be given the right to file an answer to the complaint and to appear in person or otherwise and give testimony at the place and time fixedict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in the complaint;  and that the rules of evidence prevailing in courts of law or equity shall not be controlling in hearings before the public officer; (3) That if, after such notice and hearing, the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public officer determines that the dwelling under consideration is unfit for human habitation he shall state in writing his findings of fact in support of such determination and shall issue and cause tto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testifyino be served upon the owner thereof an order (a) if the repair, alteration or improvement of the dwelling can be made at a reasonable cost in relation to the value of the dwelling (the ordinance of the 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tesmunicipality may fix a certain percentage of such cost as being reasonable for such purpose), requiring the owner, within the time specified in the order, to repair, alter or improve such dwelling to rtified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N.Y.S.2ender it fit for human habitation or to vacate and close the dwelling as a human habitation or (b) if the repair, alteration or improvement of the dwelling cannot be made at a reasonable cost in relatid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psychiatrion to the value of the dwelling (the ordinance of the municipality may fix a certain percentage of such cost as being reasonable for such purpose), requiring the owner, within the time specified in thest readily admitted that some of Marie-Eline’s “spontaneous” expressions of abuse, such as a fear of her father stran</w:t>
      </w:r>
      <w:r>
        <w:rPr>
          <w:rFonts w:ascii="" w:hAnsi="" w:cs="" w:eastAsia=""/>
          <w:b w:val="false"/>
          <w:i w:val="false"/>
          <w:strike w:val="false"/>
          <w:color w:val=""/>
        </w:rPr>
        <w:t xml:space="preserve">glin order, to remove or demolish such dwelling; (4) That, if the owner fails to comply with an order to repair, alter or improve or to vacate and close the dwelling, the public officer may cause such dwelling to be rg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