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HCopyright and DisclaimerThe Statague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Statese of South Carolina owns the cop.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occasiyright to the Code of Laws of Soons,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returuth Carolina, 1976, as containedn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herein.  Any use of the text, sArticle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ection headings, or catchlines othe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pf the 1976 Code is subject to thrior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ide terms of federal copyright and.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 other applicable laws and such 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promptly,text, section headings, or catch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lines may not be reproduced in wbeing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Bhole or in part in any form or flondin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abusor inclusion in any material whiive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Mariech is offered for sale or lease -Eline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andawithout the express written permrd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[I]ission of the Chairman of the South Carolina 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