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applicable laws and such text, section headings, or catchlines may not be reproduced in whole or in part in any form or for inclusion in any material which is offered for sale or lease without the express written permission of the Chairman of the South Carolina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