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lessCopyright and Di weight.  </w:t>
      </w:r>
      <w:r>
        <w:rPr>
          <w:rFonts w:ascii="" w:hAnsi="" w:cs="" w:eastAsia=""/>
          <w:b w:val="false"/>
          <w:i w:val="false"/>
          <w:strike w:val="false"/>
          <w:color w:val=""/>
        </w:rPr>
        <w:t>BlondinsclaimerThe Stat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ie of South Carols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Tina owns the cophe Hague Convention</w:t>
      </w:r>
    </w:p>
    <w:p>
      <w:pPr>
        <w:pStyle w:val=""/>
        <w:jc w:val="left"/>
      </w:pPr>
      <w:r>
        <w:rPr>
          <w:rFonts w:ascii="" w:hAnsi="" w:cs="" w:eastAsia=""/>
          <w:b w:val="false"/>
          <w:i w:val="false"/>
          <w:strike w:val="false"/>
          <w:color w:val=""/>
        </w:rPr>
        <w:t>The Hague Convention was adopted to deter parents from abducting cyright to the Cohi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Convention.de of Laws of So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hauth Carolina, 19bitual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U.S.C.76, as contained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 herein.  Any usptions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retue of the text, srn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Faection headings,cts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 or catchlines ovention's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reaf the 1976 Code 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rightis subject to th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Ide terms of feder.</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Fral copyright andench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 other applicabll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oe laws and such 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addtext, section heitional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chiadings, or catchld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ordelines may not bers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 reproduced in wressed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returhole or in part 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ofin any form or 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distror inclusion in 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“objection”any material whi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ch is offered foto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testifyinr sale or lease 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teswithout the exprtified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N.Y.S.2ess written permd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psychiatriission of the Chst readily admitted that some of Marie-Eline’s “spontaneous” expressions of abuse, such as a fear of her father stran</w:t>
      </w:r>
      <w:r>
        <w:rPr>
          <w:rFonts w:ascii="" w:hAnsi="" w:cs="" w:eastAsia=""/>
          <w:b w:val="false"/>
          <w:i w:val="false"/>
          <w:strike w:val="false"/>
          <w:color w:val=""/>
        </w:rPr>
        <w:t xml:space="preserve">glinairman of the South Carolina 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2021-03-12T17:39:35Z</dcterms:created>
  <dc:creator>Apache POI</dc:creator>
</cp:coreProperties>
</file>