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InCopyright and DisclaimerThe State of South Carolina owns the copyright to the Code of Laws of South Carolina, 1976, as contained he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rein.  Any use of the text, section headings, or catchlines of the 1976 Code is subject to the terms of federal copyright and otherimportance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applicable laws and such text, section headings, or catchlines may not be reproduced in whole or in part in any form or for inclus.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shion in any material which is offered for sale or lease without the express written permission of the Chairman of the South Carolina 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