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Carolina, 1976, as contained herein.  Any use of the text, section headings, or catchlines of the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Educ1976 Code is subject to the terms of federal copyright and other applicable laws and such text, sec.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detetion headings, or catchlines may not be reproduced in whole or in part in any form or for inclusionrminations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in any material which is offered for sale or lease without the express written permission of the C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analyshairman of the South Carolina Legislative Council or the Code Commissioner of South Carolina.This 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degree,”tatutory database is current through the 2001 Regular Session and the 2001 Extra Session of the Sou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assth Carolina General Assembly.  Changes to the statutes enacted by the 2002 General Assembly, which willessment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