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HCopyright and DisclaimerThe State of South Carolina owns the copyriague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Statesght to the Code of Laws of South Carolina, 1976, as contained herei.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occasin.  Any use of the text, section headings, or catchlines of the 197ons,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retur6 Code is subject to the terms of federal copyright and other applin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cable laws and such text, section headings, or catchlines may not bArticle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e reproduced in whole or in part in any form or for inclusion in anthe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py material which is offered for sale or lease without the express wrior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idritten permission of the Chairman of the South Carolina Legislative.</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 Council or the Code Commissioner of South Carolina.This statutory 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promptly,database is current through the 2001 Regular Session and the 2001 E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xtra Session of the South Carolina General Assembly.  Changes to thbeing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Be statutes enacted by the 2002 General Assembly, which will convenelondin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 in January 2002, will be incorporated as soon as possible.  Some cive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Mariehanges enacted by the 2002 General Assembly may take immediate effe-Eline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andact.  The State of South Carolina and the South Carolina Legislativerd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 Council make no warranty as to the accuracy of the data, and usersn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