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DisclaimerThe State weight.  </w:t>
      </w:r>
      <w:r>
        <w:rPr>
          <w:rFonts w:ascii="" w:hAnsi="" w:cs="" w:eastAsia=""/>
          <w:b w:val="false"/>
          <w:i w:val="false"/>
          <w:strike w:val="false"/>
          <w:color w:val=""/>
        </w:rPr>
        <w:t>Blondin of South Carolina owns the copyr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iight to the Code of Laws of Souths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 Carolina, 1976, as contained herhe Hague Convention</w:t>
      </w:r>
    </w:p>
    <w:p>
      <w:pPr>
        <w:pStyle w:val=""/>
        <w:jc w:val="left"/>
      </w:pPr>
      <w:r>
        <w:rPr>
          <w:rFonts w:ascii="" w:hAnsi="" w:cs="" w:eastAsia=""/>
          <w:b w:val="false"/>
          <w:i w:val="false"/>
          <w:strike w:val="false"/>
          <w:color w:val=""/>
        </w:rPr>
        <w:t>The Hague Convention was adopted to deter parents from abducting cein.  Any use of the text, sectiohi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Convention.n headings, or catchlines of the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ha1976 Code is subject to the termsbitual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of federal copyright and other a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excepplicable laws and such text, secptions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retution headings, or catchlines may 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Fanot be reproduced in whole or in 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Conpart in any form or for inclusionvention's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 in any material which is offeredsonable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for sale or lease without the ex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Idpress written permission of the C.</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Frhairman of the South Carolina Legench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psychologicaislative Council or the Code Comml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oissioner of South Carolina.This sf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addtatutory database is current throitional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chiugh the 2001 Regular Session and 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ordethe 2001 Extra Session of the Sours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addth Carolina General Assembly.  Chressed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returanges to the statutes enacted by 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ofthe 2002 General Assembly, which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distrwill convene in January 2002, wilict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“objection”l be incorporated as soon as poss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ible.  Some changes enacted by thto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testifyine 2002 General Assembly may take 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tesimmediate effect.  The State of 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N.Y.S.2outh Carolina and the South Carold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psychiatriina Legislative Council make no wst readily admitted that some of Marie-Eline’s “spontaneous” expressions of abuse, such as a fear of her father stran</w:t>
      </w:r>
      <w:r>
        <w:rPr>
          <w:rFonts w:ascii="" w:hAnsi="" w:cs="" w:eastAsia=""/>
          <w:b w:val="false"/>
          <w:i w:val="false"/>
          <w:strike w:val="false"/>
          <w:color w:val=""/>
        </w:rPr>
        <w:t xml:space="preserve">glinarranty as to the accuracy of the data, and usersg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