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InCopyright and DisclaimerThe State of South Carolina owns the copyright to the Code of Laws of South Carolina, 1976, as contained herein.  Any use of the text, section headings, or catchlines of the 1976 Code is subject to the terms of federal copyright and other appli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cable laws and such text, section headings, or catchlines may not be reproduced in whole or in part in any form or for inclusion in any material which is offered for sale or lease without the express written permission of the Chairman of the South Carolina Legislativeimportance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Council or the Code Commissioner of South Carolina.This statutory database is current through the 2001 Regular Session and the 2001 Extra Session of the South Carolina General Assembly.  Changes to the statutes enacted by the 2002 General Assembly, which will convene.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 in January 2002, will be incorporated as soon as possible.  Some changes enacted by the 2002 General Assembly may take immediate effect.  The State of South Carolina and the South Carolina Legislative Council make no warranty as to the accuracy of the data, and userse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