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HCopyright and DisclaimerThe State of South Carolina owns the copyright to the Code oague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Statesf Laws of South Carolina, 1976, as contained herein.  Any use of the text, section h.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occasieadings, or catchlines of the 1976 Code is subject to the terms of federal copyrightons,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 and other applicable laws and such text, section headings, or catchlines may not ben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reproduced in whole or in part in any form or for inclusion in any material which iArticle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s offered for sale or lease without the express written permission of the Chairman othe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pf the South Carolina Legislative Council or the Code Commissioner of South Carolina.rior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idThis statutory database is current through the 2001 Regular Session and the 2001 Ext.</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disra Session of the South Carolina General Assembly.  Changes to the statutes enacted 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promptly,by the 2002 General Assembly, which will convene in January 2002, will be incorporat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ed as soon as possible.  Some changes enacted by the 2002 General Assembly may take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Bimmediate effect.  The State of South Carolina and the South Carolina Legislative Colondin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abusuncil make no warranty as to the accuracy of the data, and users rely on the data enive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Marietirely at their own risk.The Legislative Council by law is charged with compiling an-Eline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andad publishing the 1976 Code and it is maintained in a database which may be accessed 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[I]for commercial purposes by contacting the Legislative Council or the office of Legislative Prinn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